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19A" w:rsidRPr="005371A9" w:rsidRDefault="00E1019A" w:rsidP="004356A5">
      <w:pPr>
        <w:spacing w:beforeLines="50" w:before="156" w:line="360" w:lineRule="auto"/>
        <w:jc w:val="center"/>
        <w:outlineLvl w:val="0"/>
        <w:rPr>
          <w:rFonts w:ascii="Times New Roman" w:hAnsi="Times New Roman" w:cs="Times New Roman"/>
          <w:b/>
          <w:bCs/>
          <w:color w:val="000000" w:themeColor="text1"/>
          <w:sz w:val="30"/>
          <w:szCs w:val="30"/>
        </w:rPr>
      </w:pPr>
      <w:r w:rsidRPr="005371A9">
        <w:rPr>
          <w:rFonts w:ascii="Times New Roman" w:hAnsi="Times New Roman" w:cs="Times New Roman"/>
          <w:b/>
          <w:bCs/>
          <w:color w:val="000000" w:themeColor="text1"/>
          <w:sz w:val="30"/>
          <w:szCs w:val="30"/>
        </w:rPr>
        <w:t>天津市武清开发区居住</w:t>
      </w:r>
      <w:r w:rsidRPr="003A7894">
        <w:rPr>
          <w:rFonts w:ascii="Times New Roman" w:hAnsi="Times New Roman" w:cs="Times New Roman"/>
          <w:b/>
          <w:bCs/>
          <w:color w:val="000000" w:themeColor="text1"/>
          <w:sz w:val="30"/>
          <w:szCs w:val="30"/>
        </w:rPr>
        <w:t>3</w:t>
      </w:r>
      <w:r w:rsidRPr="003A7894">
        <w:rPr>
          <w:rFonts w:ascii="Times New Roman" w:hAnsi="Times New Roman" w:cs="Times New Roman"/>
          <w:b/>
          <w:bCs/>
          <w:color w:val="000000" w:themeColor="text1"/>
          <w:sz w:val="30"/>
          <w:szCs w:val="30"/>
        </w:rPr>
        <w:t>（</w:t>
      </w:r>
      <w:r w:rsidRPr="003A7894">
        <w:rPr>
          <w:rFonts w:ascii="Times New Roman" w:eastAsiaTheme="minorEastAsia" w:hAnsi="Times New Roman" w:cs="Times New Roman"/>
          <w:b/>
          <w:bCs/>
          <w:color w:val="000000" w:themeColor="text1"/>
          <w:sz w:val="30"/>
          <w:szCs w:val="30"/>
        </w:rPr>
        <w:t>03-</w:t>
      </w:r>
      <w:r>
        <w:rPr>
          <w:rFonts w:ascii="Times New Roman" w:eastAsiaTheme="minorEastAsia" w:hAnsi="Times New Roman" w:cs="Times New Roman" w:hint="eastAsia"/>
          <w:b/>
          <w:bCs/>
          <w:color w:val="000000" w:themeColor="text1"/>
          <w:sz w:val="30"/>
          <w:szCs w:val="30"/>
        </w:rPr>
        <w:t>08</w:t>
      </w:r>
      <w:r w:rsidRPr="003A7894">
        <w:rPr>
          <w:rFonts w:ascii="Times New Roman" w:hAnsi="Times New Roman" w:cs="Times New Roman"/>
          <w:b/>
          <w:bCs/>
          <w:color w:val="000000" w:themeColor="text1"/>
          <w:sz w:val="30"/>
          <w:szCs w:val="30"/>
        </w:rPr>
        <w:t>）</w:t>
      </w:r>
      <w:r w:rsidRPr="005371A9">
        <w:rPr>
          <w:rFonts w:ascii="Times New Roman" w:hAnsi="Times New Roman" w:cs="Times New Roman"/>
          <w:b/>
          <w:bCs/>
          <w:color w:val="000000" w:themeColor="text1"/>
          <w:sz w:val="30"/>
          <w:szCs w:val="30"/>
        </w:rPr>
        <w:t>地块</w:t>
      </w:r>
    </w:p>
    <w:p w:rsidR="00E1019A" w:rsidRPr="00012C2F" w:rsidRDefault="00E1019A" w:rsidP="00E1019A">
      <w:pPr>
        <w:spacing w:line="360" w:lineRule="auto"/>
        <w:jc w:val="center"/>
        <w:outlineLvl w:val="0"/>
        <w:rPr>
          <w:rFonts w:ascii="Times New Roman" w:hAnsi="Times New Roman" w:cs="Times New Roman"/>
          <w:b/>
          <w:bCs/>
          <w:color w:val="000000" w:themeColor="text1"/>
          <w:sz w:val="30"/>
          <w:szCs w:val="30"/>
        </w:rPr>
      </w:pPr>
      <w:bookmarkStart w:id="0" w:name="_Toc24207474"/>
      <w:bookmarkStart w:id="1" w:name="_Toc25923338"/>
      <w:bookmarkStart w:id="2" w:name="_Toc29634680"/>
      <w:bookmarkStart w:id="3" w:name="_Toc38468521"/>
      <w:r w:rsidRPr="005371A9">
        <w:rPr>
          <w:rFonts w:ascii="Times New Roman" w:hAnsi="Times New Roman" w:cs="Times New Roman"/>
          <w:b/>
          <w:bCs/>
          <w:color w:val="000000" w:themeColor="text1"/>
          <w:sz w:val="30"/>
          <w:szCs w:val="30"/>
        </w:rPr>
        <w:t>土壤污染</w:t>
      </w:r>
      <w:bookmarkEnd w:id="0"/>
      <w:bookmarkEnd w:id="1"/>
      <w:bookmarkEnd w:id="2"/>
      <w:bookmarkEnd w:id="3"/>
      <w:r>
        <w:rPr>
          <w:rFonts w:ascii="Times New Roman" w:hAnsi="Times New Roman" w:cs="Times New Roman" w:hint="eastAsia"/>
          <w:b/>
          <w:bCs/>
          <w:color w:val="000000" w:themeColor="text1"/>
          <w:sz w:val="30"/>
          <w:szCs w:val="30"/>
        </w:rPr>
        <w:t>风险评估报告</w:t>
      </w:r>
    </w:p>
    <w:p w:rsidR="00E1019A" w:rsidRPr="005371A9" w:rsidRDefault="00E1019A" w:rsidP="00E1019A">
      <w:pPr>
        <w:spacing w:beforeLines="50" w:before="156"/>
        <w:outlineLvl w:val="1"/>
        <w:rPr>
          <w:b/>
          <w:sz w:val="28"/>
          <w:szCs w:val="28"/>
        </w:rPr>
      </w:pPr>
      <w:r w:rsidRPr="005371A9">
        <w:rPr>
          <w:b/>
          <w:sz w:val="28"/>
          <w:szCs w:val="28"/>
        </w:rPr>
        <w:t>1</w:t>
      </w:r>
      <w:r>
        <w:rPr>
          <w:rFonts w:hint="eastAsia"/>
          <w:b/>
          <w:sz w:val="28"/>
          <w:szCs w:val="28"/>
        </w:rPr>
        <w:t xml:space="preserve"> </w:t>
      </w:r>
      <w:r w:rsidRPr="005371A9">
        <w:rPr>
          <w:b/>
          <w:sz w:val="28"/>
          <w:szCs w:val="28"/>
        </w:rPr>
        <w:t>概况</w:t>
      </w:r>
    </w:p>
    <w:p w:rsidR="00E1019A" w:rsidRPr="005371A9" w:rsidRDefault="00E1019A" w:rsidP="00E1019A">
      <w:pPr>
        <w:outlineLvl w:val="2"/>
        <w:rPr>
          <w:b/>
        </w:rPr>
      </w:pPr>
      <w:r w:rsidRPr="005371A9">
        <w:rPr>
          <w:b/>
        </w:rPr>
        <w:t>1.1</w:t>
      </w:r>
      <w:r>
        <w:rPr>
          <w:rFonts w:hint="eastAsia"/>
          <w:b/>
        </w:rPr>
        <w:t xml:space="preserve"> </w:t>
      </w:r>
      <w:r w:rsidRPr="005371A9">
        <w:rPr>
          <w:b/>
        </w:rPr>
        <w:t>项目概况</w:t>
      </w:r>
    </w:p>
    <w:p w:rsidR="00E1019A" w:rsidRPr="000F337F" w:rsidRDefault="00E1019A" w:rsidP="00E1019A">
      <w:pPr>
        <w:ind w:firstLineChars="200" w:firstLine="480"/>
        <w:jc w:val="both"/>
        <w:rPr>
          <w:rFonts w:asciiTheme="minorEastAsia" w:eastAsiaTheme="minorEastAsia" w:hAnsiTheme="minorEastAsia" w:cs="Times New Roman"/>
          <w:color w:val="000000" w:themeColor="text1"/>
        </w:rPr>
      </w:pPr>
      <w:r w:rsidRPr="000F337F">
        <w:rPr>
          <w:rFonts w:asciiTheme="minorEastAsia" w:eastAsiaTheme="minorEastAsia" w:hAnsiTheme="minorEastAsia" w:cs="Times New Roman" w:hint="eastAsia"/>
          <w:color w:val="000000" w:themeColor="text1"/>
          <w:szCs w:val="21"/>
        </w:rPr>
        <w:t>居住3</w:t>
      </w:r>
      <w:r w:rsidRPr="000F337F">
        <w:rPr>
          <w:rFonts w:asciiTheme="minorEastAsia" w:eastAsiaTheme="minorEastAsia" w:hAnsiTheme="minorEastAsia" w:cs="Times New Roman"/>
          <w:color w:val="000000" w:themeColor="text1"/>
          <w:szCs w:val="21"/>
        </w:rPr>
        <w:t>地块</w:t>
      </w:r>
      <w:r w:rsidRPr="000F337F">
        <w:rPr>
          <w:rFonts w:asciiTheme="minorEastAsia" w:eastAsiaTheme="minorEastAsia" w:hAnsiTheme="minorEastAsia" w:cs="Times New Roman" w:hint="eastAsia"/>
          <w:color w:val="000000" w:themeColor="text1"/>
          <w:szCs w:val="21"/>
        </w:rPr>
        <w:t>位于</w:t>
      </w:r>
      <w:r w:rsidRPr="000F337F">
        <w:rPr>
          <w:rFonts w:asciiTheme="minorEastAsia" w:eastAsiaTheme="minorEastAsia" w:hAnsiTheme="minorEastAsia" w:cs="Times New Roman"/>
          <w:color w:val="000000" w:themeColor="text1"/>
          <w:szCs w:val="21"/>
        </w:rPr>
        <w:t>天津市武清开发区中央湖公园</w:t>
      </w:r>
      <w:r w:rsidRPr="000F337F">
        <w:rPr>
          <w:rFonts w:asciiTheme="minorEastAsia" w:eastAsiaTheme="minorEastAsia" w:hAnsiTheme="minorEastAsia" w:cs="Times New Roman" w:hint="eastAsia"/>
          <w:color w:val="000000" w:themeColor="text1"/>
          <w:szCs w:val="21"/>
        </w:rPr>
        <w:t>西侧，四至范围为：</w:t>
      </w:r>
      <w:r w:rsidR="000F337F" w:rsidRPr="000F337F">
        <w:rPr>
          <w:rFonts w:asciiTheme="minorEastAsia" w:eastAsiaTheme="minorEastAsia" w:hAnsiTheme="minorEastAsia"/>
        </w:rPr>
        <w:t>东至新创路，西至新汇路，南</w:t>
      </w:r>
      <w:proofErr w:type="gramStart"/>
      <w:r w:rsidR="000F337F" w:rsidRPr="000F337F">
        <w:rPr>
          <w:rFonts w:asciiTheme="minorEastAsia" w:eastAsiaTheme="minorEastAsia" w:hAnsiTheme="minorEastAsia"/>
        </w:rPr>
        <w:t>至悦源</w:t>
      </w:r>
      <w:proofErr w:type="gramEnd"/>
      <w:r w:rsidR="000F337F" w:rsidRPr="000F337F">
        <w:rPr>
          <w:rFonts w:asciiTheme="minorEastAsia" w:eastAsiaTheme="minorEastAsia" w:hAnsiTheme="minorEastAsia"/>
        </w:rPr>
        <w:t>道，</w:t>
      </w:r>
      <w:proofErr w:type="gramStart"/>
      <w:r w:rsidR="000F337F" w:rsidRPr="000F337F">
        <w:rPr>
          <w:rFonts w:asciiTheme="minorEastAsia" w:eastAsiaTheme="minorEastAsia" w:hAnsiTheme="minorEastAsia"/>
        </w:rPr>
        <w:t>北至畅源道</w:t>
      </w:r>
      <w:proofErr w:type="gramEnd"/>
      <w:r w:rsidRPr="000F337F">
        <w:rPr>
          <w:rFonts w:asciiTheme="minorEastAsia" w:eastAsiaTheme="minorEastAsia" w:hAnsiTheme="minorEastAsia" w:cs="Times New Roman" w:hint="eastAsia"/>
          <w:color w:val="000000" w:themeColor="text1"/>
        </w:rPr>
        <w:t>，调查面积为</w:t>
      </w:r>
      <w:r w:rsidRPr="000F337F">
        <w:rPr>
          <w:rFonts w:asciiTheme="minorEastAsia" w:eastAsiaTheme="minorEastAsia" w:hAnsiTheme="minorEastAsia" w:cs="Times New Roman"/>
          <w:color w:val="000000" w:themeColor="text1"/>
        </w:rPr>
        <w:t>57434.8</w:t>
      </w:r>
      <w:r w:rsidRPr="000F337F">
        <w:rPr>
          <w:rFonts w:asciiTheme="minorEastAsia" w:eastAsiaTheme="minorEastAsia" w:hAnsiTheme="minorEastAsia" w:cs="Times New Roman" w:hint="eastAsia"/>
          <w:color w:val="000000" w:themeColor="text1"/>
        </w:rPr>
        <w:t xml:space="preserve"> </w:t>
      </w:r>
      <w:r w:rsidRPr="000F337F">
        <w:rPr>
          <w:rFonts w:asciiTheme="minorEastAsia" w:eastAsiaTheme="minorEastAsia" w:hAnsiTheme="minorEastAsia" w:cs="Times New Roman"/>
          <w:color w:val="000000" w:themeColor="text1"/>
        </w:rPr>
        <w:t>m</w:t>
      </w:r>
      <w:r w:rsidRPr="000F337F">
        <w:rPr>
          <w:rFonts w:asciiTheme="minorEastAsia" w:eastAsiaTheme="minorEastAsia" w:hAnsiTheme="minorEastAsia" w:cs="Times New Roman"/>
          <w:color w:val="000000" w:themeColor="text1"/>
          <w:vertAlign w:val="superscript"/>
        </w:rPr>
        <w:t>2</w:t>
      </w:r>
      <w:r w:rsidRPr="000F337F">
        <w:rPr>
          <w:rFonts w:asciiTheme="minorEastAsia" w:eastAsiaTheme="minorEastAsia" w:hAnsiTheme="minorEastAsia" w:cs="Times New Roman"/>
          <w:color w:val="000000" w:themeColor="text1"/>
        </w:rPr>
        <w:t>。</w:t>
      </w:r>
    </w:p>
    <w:p w:rsidR="00E1019A" w:rsidRPr="000F337F" w:rsidRDefault="00E1019A" w:rsidP="00E1019A">
      <w:pPr>
        <w:ind w:firstLineChars="200" w:firstLine="480"/>
        <w:jc w:val="both"/>
        <w:rPr>
          <w:rFonts w:asciiTheme="minorEastAsia" w:eastAsiaTheme="minorEastAsia" w:hAnsiTheme="minorEastAsia" w:cs="Times New Roman"/>
          <w:color w:val="000000" w:themeColor="text1"/>
        </w:rPr>
      </w:pPr>
      <w:r w:rsidRPr="000F337F">
        <w:rPr>
          <w:rFonts w:asciiTheme="minorEastAsia" w:eastAsiaTheme="minorEastAsia" w:hAnsiTheme="minorEastAsia" w:cs="Times New Roman"/>
          <w:color w:val="000000" w:themeColor="text1"/>
        </w:rPr>
        <w:t>2019年10</w:t>
      </w:r>
      <w:r w:rsidRPr="000F337F">
        <w:rPr>
          <w:rFonts w:asciiTheme="minorEastAsia" w:eastAsiaTheme="minorEastAsia" w:hAnsiTheme="minorEastAsia" w:cs="Times New Roman" w:hint="eastAsia"/>
          <w:color w:val="000000" w:themeColor="text1"/>
        </w:rPr>
        <w:t>月</w:t>
      </w:r>
      <w:r w:rsidRPr="000F337F">
        <w:rPr>
          <w:rFonts w:asciiTheme="minorEastAsia" w:eastAsiaTheme="minorEastAsia" w:hAnsiTheme="minorEastAsia" w:cs="Times New Roman"/>
          <w:color w:val="000000" w:themeColor="text1"/>
        </w:rPr>
        <w:t>-</w:t>
      </w:r>
      <w:r w:rsidRPr="000F337F">
        <w:rPr>
          <w:rFonts w:asciiTheme="minorEastAsia" w:eastAsiaTheme="minorEastAsia" w:hAnsiTheme="minorEastAsia" w:cs="Times New Roman" w:hint="eastAsia"/>
          <w:color w:val="000000" w:themeColor="text1"/>
        </w:rPr>
        <w:t>2020年8</w:t>
      </w:r>
      <w:r w:rsidRPr="000F337F">
        <w:rPr>
          <w:rFonts w:asciiTheme="minorEastAsia" w:eastAsiaTheme="minorEastAsia" w:hAnsiTheme="minorEastAsia" w:cs="Times New Roman"/>
          <w:color w:val="000000" w:themeColor="text1"/>
        </w:rPr>
        <w:t>月，天津华</w:t>
      </w:r>
      <w:proofErr w:type="gramStart"/>
      <w:r w:rsidRPr="000F337F">
        <w:rPr>
          <w:rFonts w:asciiTheme="minorEastAsia" w:eastAsiaTheme="minorEastAsia" w:hAnsiTheme="minorEastAsia" w:cs="Times New Roman"/>
          <w:color w:val="000000" w:themeColor="text1"/>
        </w:rPr>
        <w:t>勘</w:t>
      </w:r>
      <w:proofErr w:type="gramEnd"/>
      <w:r w:rsidRPr="000F337F">
        <w:rPr>
          <w:rFonts w:asciiTheme="minorEastAsia" w:eastAsiaTheme="minorEastAsia" w:hAnsiTheme="minorEastAsia" w:cs="Times New Roman"/>
          <w:color w:val="000000" w:themeColor="text1"/>
        </w:rPr>
        <w:t>环境治理工程有限公司受天津新技术产业园区武清开发区总公司的委托</w:t>
      </w:r>
      <w:r w:rsidRPr="000F337F">
        <w:rPr>
          <w:rFonts w:asciiTheme="minorEastAsia" w:eastAsiaTheme="minorEastAsia" w:hAnsiTheme="minorEastAsia" w:cs="Times New Roman" w:hint="eastAsia"/>
          <w:color w:val="000000" w:themeColor="text1"/>
        </w:rPr>
        <w:t>，</w:t>
      </w:r>
      <w:r w:rsidRPr="000F337F">
        <w:rPr>
          <w:rFonts w:asciiTheme="minorEastAsia" w:eastAsiaTheme="minorEastAsia" w:hAnsiTheme="minorEastAsia" w:cs="Times New Roman"/>
          <w:color w:val="000000" w:themeColor="text1"/>
        </w:rPr>
        <w:t>遵照相关法律法规</w:t>
      </w:r>
      <w:r w:rsidRPr="000F337F">
        <w:rPr>
          <w:rFonts w:asciiTheme="minorEastAsia" w:eastAsiaTheme="minorEastAsia" w:hAnsiTheme="minorEastAsia" w:cs="Times New Roman" w:hint="eastAsia"/>
          <w:color w:val="000000" w:themeColor="text1"/>
        </w:rPr>
        <w:t>和技术导则</w:t>
      </w:r>
      <w:r w:rsidRPr="000F337F">
        <w:rPr>
          <w:rFonts w:asciiTheme="minorEastAsia" w:eastAsiaTheme="minorEastAsia" w:hAnsiTheme="minorEastAsia" w:cs="Times New Roman"/>
          <w:color w:val="000000" w:themeColor="text1"/>
        </w:rPr>
        <w:t>要求</w:t>
      </w:r>
      <w:r w:rsidRPr="000F337F">
        <w:rPr>
          <w:rFonts w:asciiTheme="minorEastAsia" w:eastAsiaTheme="minorEastAsia" w:hAnsiTheme="minorEastAsia" w:cs="Times New Roman" w:hint="eastAsia"/>
          <w:color w:val="000000" w:themeColor="text1"/>
        </w:rPr>
        <w:t>，</w:t>
      </w:r>
      <w:r w:rsidRPr="000F337F">
        <w:rPr>
          <w:rFonts w:asciiTheme="minorEastAsia" w:eastAsiaTheme="minorEastAsia" w:hAnsiTheme="minorEastAsia" w:cs="Times New Roman"/>
          <w:color w:val="000000" w:themeColor="text1"/>
        </w:rPr>
        <w:t>对</w:t>
      </w:r>
      <w:r w:rsidRPr="000F337F">
        <w:rPr>
          <w:rFonts w:asciiTheme="minorEastAsia" w:eastAsiaTheme="minorEastAsia" w:hAnsiTheme="minorEastAsia" w:cs="Times New Roman" w:hint="eastAsia"/>
          <w:color w:val="000000" w:themeColor="text1"/>
        </w:rPr>
        <w:t>武清开发区居住3</w:t>
      </w:r>
      <w:r w:rsidRPr="000F337F">
        <w:rPr>
          <w:rFonts w:asciiTheme="minorEastAsia" w:eastAsiaTheme="minorEastAsia" w:hAnsiTheme="minorEastAsia" w:cs="Times New Roman"/>
          <w:color w:val="000000" w:themeColor="text1"/>
        </w:rPr>
        <w:t>（0</w:t>
      </w:r>
      <w:r w:rsidRPr="000F337F">
        <w:rPr>
          <w:rFonts w:asciiTheme="minorEastAsia" w:eastAsiaTheme="minorEastAsia" w:hAnsiTheme="minorEastAsia" w:cs="Times New Roman" w:hint="eastAsia"/>
          <w:color w:val="000000" w:themeColor="text1"/>
        </w:rPr>
        <w:t>3</w:t>
      </w:r>
      <w:r w:rsidRPr="000F337F">
        <w:rPr>
          <w:rFonts w:asciiTheme="minorEastAsia" w:eastAsiaTheme="minorEastAsia" w:hAnsiTheme="minorEastAsia" w:cs="Times New Roman"/>
          <w:color w:val="000000" w:themeColor="text1"/>
        </w:rPr>
        <w:t>-</w:t>
      </w:r>
      <w:r w:rsidRPr="000F337F">
        <w:rPr>
          <w:rFonts w:asciiTheme="minorEastAsia" w:eastAsiaTheme="minorEastAsia" w:hAnsiTheme="minorEastAsia" w:cs="Times New Roman" w:hint="eastAsia"/>
          <w:color w:val="000000" w:themeColor="text1"/>
        </w:rPr>
        <w:t>08</w:t>
      </w:r>
      <w:r w:rsidRPr="000F337F">
        <w:rPr>
          <w:rFonts w:asciiTheme="minorEastAsia" w:eastAsiaTheme="minorEastAsia" w:hAnsiTheme="minorEastAsia" w:cs="Times New Roman"/>
          <w:color w:val="000000" w:themeColor="text1"/>
        </w:rPr>
        <w:t>）地块</w:t>
      </w:r>
      <w:r w:rsidRPr="000F337F">
        <w:rPr>
          <w:rFonts w:asciiTheme="minorEastAsia" w:eastAsiaTheme="minorEastAsia" w:hAnsiTheme="minorEastAsia" w:cs="Times New Roman" w:hint="eastAsia"/>
          <w:color w:val="000000" w:themeColor="text1"/>
        </w:rPr>
        <w:t>相继</w:t>
      </w:r>
      <w:r w:rsidRPr="000F337F">
        <w:rPr>
          <w:rFonts w:asciiTheme="minorEastAsia" w:eastAsiaTheme="minorEastAsia" w:hAnsiTheme="minorEastAsia" w:cs="Times New Roman"/>
          <w:color w:val="000000" w:themeColor="text1"/>
        </w:rPr>
        <w:t>开展土壤污染状况</w:t>
      </w:r>
      <w:r w:rsidRPr="000F337F">
        <w:rPr>
          <w:rFonts w:asciiTheme="minorEastAsia" w:eastAsiaTheme="minorEastAsia" w:hAnsiTheme="minorEastAsia" w:cs="Times New Roman" w:hint="eastAsia"/>
          <w:color w:val="000000" w:themeColor="text1"/>
        </w:rPr>
        <w:t>初步</w:t>
      </w:r>
      <w:r w:rsidRPr="000F337F">
        <w:rPr>
          <w:rFonts w:asciiTheme="minorEastAsia" w:eastAsiaTheme="minorEastAsia" w:hAnsiTheme="minorEastAsia" w:cs="Times New Roman"/>
          <w:color w:val="000000" w:themeColor="text1"/>
        </w:rPr>
        <w:t>调查</w:t>
      </w:r>
      <w:r w:rsidRPr="000F337F">
        <w:rPr>
          <w:rFonts w:asciiTheme="minorEastAsia" w:eastAsiaTheme="minorEastAsia" w:hAnsiTheme="minorEastAsia" w:cs="Times New Roman" w:hint="eastAsia"/>
          <w:color w:val="000000" w:themeColor="text1"/>
        </w:rPr>
        <w:t>、详细调查和外围补充</w:t>
      </w:r>
      <w:r w:rsidR="00105F9F">
        <w:rPr>
          <w:rFonts w:asciiTheme="minorEastAsia" w:eastAsiaTheme="minorEastAsia" w:hAnsiTheme="minorEastAsia" w:cs="Times New Roman" w:hint="eastAsia"/>
          <w:color w:val="000000" w:themeColor="text1"/>
        </w:rPr>
        <w:t>调查</w:t>
      </w:r>
      <w:r w:rsidRPr="000F337F">
        <w:rPr>
          <w:rFonts w:asciiTheme="minorEastAsia" w:eastAsiaTheme="minorEastAsia" w:hAnsiTheme="minorEastAsia" w:cs="Times New Roman"/>
          <w:color w:val="000000" w:themeColor="text1"/>
        </w:rPr>
        <w:t>工作。</w:t>
      </w:r>
      <w:r w:rsidRPr="000F337F">
        <w:rPr>
          <w:rFonts w:asciiTheme="minorEastAsia" w:eastAsiaTheme="minorEastAsia" w:hAnsiTheme="minorEastAsia" w:cs="Times New Roman" w:hint="eastAsia"/>
          <w:color w:val="000000" w:themeColor="text1"/>
        </w:rPr>
        <w:t>通过调查表明，地下水样品</w:t>
      </w:r>
      <w:proofErr w:type="gramStart"/>
      <w:r w:rsidRPr="000F337F">
        <w:rPr>
          <w:rFonts w:asciiTheme="minorEastAsia" w:eastAsiaTheme="minorEastAsia" w:hAnsiTheme="minorEastAsia" w:cs="Times New Roman" w:hint="eastAsia"/>
          <w:color w:val="000000" w:themeColor="text1"/>
        </w:rPr>
        <w:t>中特征</w:t>
      </w:r>
      <w:proofErr w:type="gramEnd"/>
      <w:r w:rsidRPr="000F337F">
        <w:rPr>
          <w:rFonts w:asciiTheme="minorEastAsia" w:eastAsiaTheme="minorEastAsia" w:hAnsiTheme="minorEastAsia" w:cs="Times New Roman" w:hint="eastAsia"/>
          <w:color w:val="000000" w:themeColor="text1"/>
        </w:rPr>
        <w:t>污染物色度、</w:t>
      </w:r>
      <w:proofErr w:type="spellStart"/>
      <w:r w:rsidRPr="000F337F">
        <w:rPr>
          <w:rFonts w:asciiTheme="minorEastAsia" w:eastAsiaTheme="minorEastAsia" w:hAnsiTheme="minorEastAsia" w:cs="Times New Roman"/>
          <w:color w:val="000000" w:themeColor="text1"/>
        </w:rPr>
        <w:t>COD</w:t>
      </w:r>
      <w:r w:rsidRPr="000F337F">
        <w:rPr>
          <w:rFonts w:asciiTheme="minorEastAsia" w:eastAsiaTheme="minorEastAsia" w:hAnsiTheme="minorEastAsia" w:cs="Times New Roman"/>
          <w:color w:val="000000" w:themeColor="text1"/>
          <w:vertAlign w:val="subscript"/>
        </w:rPr>
        <w:t>Cr</w:t>
      </w:r>
      <w:proofErr w:type="spellEnd"/>
      <w:r w:rsidRPr="000F337F">
        <w:rPr>
          <w:rFonts w:asciiTheme="minorEastAsia" w:eastAsiaTheme="minorEastAsia" w:hAnsiTheme="minorEastAsia" w:cs="Times New Roman"/>
          <w:color w:val="000000" w:themeColor="text1"/>
        </w:rPr>
        <w:t>超过《地下水质量标准》（GB/T 14848-2017）</w:t>
      </w:r>
      <w:r w:rsidRPr="000F337F">
        <w:rPr>
          <w:rFonts w:asciiTheme="minorEastAsia" w:eastAsiaTheme="minorEastAsia" w:hAnsiTheme="minorEastAsia" w:hint="eastAsia"/>
          <w:color w:val="000000" w:themeColor="text1"/>
        </w:rPr>
        <w:t>Ⅳ</w:t>
      </w:r>
      <w:r w:rsidRPr="000F337F">
        <w:rPr>
          <w:rFonts w:asciiTheme="minorEastAsia" w:eastAsiaTheme="minorEastAsia" w:hAnsiTheme="minorEastAsia" w:cs="Times New Roman"/>
          <w:color w:val="000000" w:themeColor="text1"/>
        </w:rPr>
        <w:t>类及参考的《地表水环境质量标准》（GB3838-2002）</w:t>
      </w:r>
      <w:r w:rsidRPr="000F337F">
        <w:rPr>
          <w:rFonts w:asciiTheme="minorEastAsia" w:eastAsiaTheme="minorEastAsia" w:hAnsiTheme="minorEastAsia" w:hint="eastAsia"/>
          <w:color w:val="000000" w:themeColor="text1"/>
        </w:rPr>
        <w:t>Ⅳ</w:t>
      </w:r>
      <w:r w:rsidRPr="000F337F">
        <w:rPr>
          <w:rFonts w:asciiTheme="minorEastAsia" w:eastAsiaTheme="minorEastAsia" w:hAnsiTheme="minorEastAsia" w:cs="Times New Roman"/>
          <w:color w:val="000000" w:themeColor="text1"/>
        </w:rPr>
        <w:t>类标准限值，石油烃（C</w:t>
      </w:r>
      <w:r w:rsidRPr="000F337F">
        <w:rPr>
          <w:rFonts w:asciiTheme="minorEastAsia" w:eastAsiaTheme="minorEastAsia" w:hAnsiTheme="minorEastAsia" w:cs="Times New Roman"/>
          <w:color w:val="000000" w:themeColor="text1"/>
          <w:vertAlign w:val="subscript"/>
        </w:rPr>
        <w:t>10</w:t>
      </w:r>
      <w:r w:rsidRPr="000F337F">
        <w:rPr>
          <w:rFonts w:asciiTheme="minorEastAsia" w:eastAsiaTheme="minorEastAsia" w:hAnsiTheme="minorEastAsia" w:cs="Times New Roman"/>
          <w:color w:val="000000" w:themeColor="text1"/>
        </w:rPr>
        <w:t>-C</w:t>
      </w:r>
      <w:r w:rsidRPr="000F337F">
        <w:rPr>
          <w:rFonts w:asciiTheme="minorEastAsia" w:eastAsiaTheme="minorEastAsia" w:hAnsiTheme="minorEastAsia" w:cs="Times New Roman"/>
          <w:color w:val="000000" w:themeColor="text1"/>
          <w:vertAlign w:val="subscript"/>
        </w:rPr>
        <w:t>40</w:t>
      </w:r>
      <w:r w:rsidRPr="000F337F">
        <w:rPr>
          <w:rFonts w:asciiTheme="minorEastAsia" w:eastAsiaTheme="minorEastAsia" w:hAnsiTheme="minorEastAsia" w:cs="Times New Roman"/>
          <w:color w:val="000000" w:themeColor="text1"/>
        </w:rPr>
        <w:t>）超过《上海市建设用地土壤污染状况调查、风险评估、风险管控与修复方案编制、风险管控与修复效果评估工作的补充规定(试行)》中第一类用地的筛选值。</w:t>
      </w:r>
    </w:p>
    <w:p w:rsidR="00E1019A" w:rsidRPr="000F337F" w:rsidRDefault="00E1019A" w:rsidP="00E1019A">
      <w:pPr>
        <w:ind w:firstLineChars="200" w:firstLine="480"/>
        <w:jc w:val="both"/>
        <w:rPr>
          <w:rFonts w:asciiTheme="minorEastAsia" w:eastAsiaTheme="minorEastAsia" w:hAnsiTheme="minorEastAsia" w:cs="Times New Roman"/>
          <w:color w:val="000000" w:themeColor="text1"/>
        </w:rPr>
      </w:pPr>
      <w:r w:rsidRPr="000F337F">
        <w:rPr>
          <w:rFonts w:asciiTheme="minorEastAsia" w:eastAsiaTheme="minorEastAsia" w:hAnsiTheme="minorEastAsia" w:cs="Times New Roman"/>
          <w:color w:val="000000" w:themeColor="text1"/>
        </w:rPr>
        <w:t>本地块为污染地块</w:t>
      </w:r>
      <w:r w:rsidR="00105F9F">
        <w:rPr>
          <w:rFonts w:asciiTheme="minorEastAsia" w:eastAsiaTheme="minorEastAsia" w:hAnsiTheme="minorEastAsia" w:cs="Times New Roman" w:hint="eastAsia"/>
          <w:color w:val="000000" w:themeColor="text1"/>
        </w:rPr>
        <w:t>，</w:t>
      </w:r>
      <w:r w:rsidRPr="000F337F">
        <w:rPr>
          <w:rFonts w:asciiTheme="minorEastAsia" w:eastAsiaTheme="minorEastAsia" w:hAnsiTheme="minorEastAsia" w:cs="Times New Roman" w:hint="eastAsia"/>
          <w:color w:val="000000" w:themeColor="text1"/>
        </w:rPr>
        <w:t>为评估</w:t>
      </w:r>
      <w:r w:rsidRPr="000F337F">
        <w:rPr>
          <w:rFonts w:asciiTheme="minorEastAsia" w:eastAsiaTheme="minorEastAsia" w:hAnsiTheme="minorEastAsia" w:cs="Times New Roman"/>
          <w:color w:val="000000" w:themeColor="text1"/>
        </w:rPr>
        <w:t>地下水超标污染物对人体健康产生的风险，根据国家、天津市相关法律法规及文件要求，天津华</w:t>
      </w:r>
      <w:proofErr w:type="gramStart"/>
      <w:r w:rsidRPr="000F337F">
        <w:rPr>
          <w:rFonts w:asciiTheme="minorEastAsia" w:eastAsiaTheme="minorEastAsia" w:hAnsiTheme="minorEastAsia" w:cs="Times New Roman"/>
          <w:color w:val="000000" w:themeColor="text1"/>
        </w:rPr>
        <w:t>勘</w:t>
      </w:r>
      <w:proofErr w:type="gramEnd"/>
      <w:r w:rsidRPr="000F337F">
        <w:rPr>
          <w:rFonts w:asciiTheme="minorEastAsia" w:eastAsiaTheme="minorEastAsia" w:hAnsiTheme="minorEastAsia" w:cs="Times New Roman"/>
          <w:color w:val="000000" w:themeColor="text1"/>
        </w:rPr>
        <w:t>环境治理工程有限公司开展了本次风险评估工作。</w:t>
      </w:r>
    </w:p>
    <w:p w:rsidR="00E1019A" w:rsidRPr="005371A9" w:rsidRDefault="00E1019A" w:rsidP="00E1019A">
      <w:pPr>
        <w:outlineLvl w:val="2"/>
        <w:rPr>
          <w:b/>
        </w:rPr>
      </w:pPr>
      <w:r w:rsidRPr="005371A9">
        <w:rPr>
          <w:b/>
        </w:rPr>
        <w:t>1.2</w:t>
      </w:r>
      <w:r>
        <w:rPr>
          <w:rFonts w:hint="eastAsia"/>
          <w:b/>
        </w:rPr>
        <w:t xml:space="preserve"> 评估</w:t>
      </w:r>
      <w:r w:rsidRPr="005371A9">
        <w:rPr>
          <w:b/>
        </w:rPr>
        <w:t>范围</w:t>
      </w:r>
    </w:p>
    <w:p w:rsidR="00E1019A" w:rsidRDefault="00E1019A" w:rsidP="00E1019A">
      <w:pPr>
        <w:ind w:firstLineChars="200" w:firstLine="480"/>
      </w:pPr>
      <w:r>
        <w:rPr>
          <w:rFonts w:hint="eastAsia"/>
        </w:rPr>
        <w:t>居住</w:t>
      </w:r>
      <w:r>
        <w:t>3地块位于天津市武清区武清开发区内，地块四至范围为东至新创路，西至新汇路，南</w:t>
      </w:r>
      <w:proofErr w:type="gramStart"/>
      <w:r>
        <w:t>至悦源</w:t>
      </w:r>
      <w:proofErr w:type="gramEnd"/>
      <w:r>
        <w:t>道，</w:t>
      </w:r>
      <w:proofErr w:type="gramStart"/>
      <w:r>
        <w:t>北至畅源道</w:t>
      </w:r>
      <w:proofErr w:type="gramEnd"/>
      <w:r>
        <w:t>，地块面积为57434.8 m2。</w:t>
      </w:r>
    </w:p>
    <w:p w:rsidR="00E1019A" w:rsidRDefault="00E1019A" w:rsidP="00E1019A">
      <w:pPr>
        <w:ind w:firstLineChars="200" w:firstLine="480"/>
      </w:pPr>
      <w:r>
        <w:rPr>
          <w:rFonts w:hint="eastAsia"/>
        </w:rPr>
        <w:t>居住</w:t>
      </w:r>
      <w:r>
        <w:t>3地块土壤污染状况初步调查和详细调查表明，该地块由于疑似渗坑影响，地块内地下水中石油烃（C10-C40）、色度和</w:t>
      </w:r>
      <w:proofErr w:type="spellStart"/>
      <w:r>
        <w:t>CODCr</w:t>
      </w:r>
      <w:proofErr w:type="spellEnd"/>
      <w:r>
        <w:t>超过相应水质标准限值，并且污染范围已将至地块东、南边界。为进一步明确污染范围，在居住3地块东南侧开展了进一步补充调查工作。</w:t>
      </w:r>
    </w:p>
    <w:p w:rsidR="00E1019A" w:rsidRDefault="00E1019A" w:rsidP="00E1019A">
      <w:pPr>
        <w:ind w:firstLineChars="200" w:firstLine="480"/>
      </w:pPr>
      <w:r>
        <w:rPr>
          <w:rFonts w:hint="eastAsia"/>
        </w:rPr>
        <w:t>补充调查范围东至南东线，北至居住</w:t>
      </w:r>
      <w:r>
        <w:t>3（03-08）地块，西至新汇路，南至五支渠。因居住3地块</w:t>
      </w:r>
      <w:proofErr w:type="gramStart"/>
      <w:r>
        <w:t>南侧和东侧悦源</w:t>
      </w:r>
      <w:proofErr w:type="gramEnd"/>
      <w:r>
        <w:t>道和新创路已经建成，因此补充调查范围不含已建成</w:t>
      </w:r>
      <w:proofErr w:type="gramStart"/>
      <w:r>
        <w:t>的悦源道</w:t>
      </w:r>
      <w:proofErr w:type="gramEnd"/>
      <w:r>
        <w:t>和新创路。</w:t>
      </w:r>
    </w:p>
    <w:p w:rsidR="00E1019A" w:rsidRPr="00E1019A" w:rsidRDefault="00E1019A" w:rsidP="00E1019A">
      <w:pPr>
        <w:ind w:firstLineChars="200" w:firstLine="480"/>
      </w:pPr>
      <w:r w:rsidRPr="00E1019A">
        <w:t>居住3地块及补充调查范围</w:t>
      </w:r>
      <w:r>
        <w:rPr>
          <w:rFonts w:hint="eastAsia"/>
        </w:rPr>
        <w:t>如下表及图</w:t>
      </w:r>
      <w:r w:rsidRPr="00E1019A">
        <w:t>。</w:t>
      </w:r>
      <w:bookmarkStart w:id="4" w:name="_GoBack"/>
      <w:bookmarkEnd w:id="4"/>
    </w:p>
    <w:p w:rsidR="00E1019A" w:rsidRPr="00E1019A" w:rsidRDefault="00E1019A" w:rsidP="00E1019A">
      <w:pPr>
        <w:keepNext/>
        <w:jc w:val="center"/>
        <w:rPr>
          <w:rFonts w:ascii="Times New Roman" w:eastAsia="仿宋" w:hAnsi="Times New Roman" w:cs="Times New Roman"/>
          <w:b/>
          <w:color w:val="000000"/>
          <w:kern w:val="2"/>
        </w:rPr>
      </w:pPr>
      <w:bookmarkStart w:id="5" w:name="_Toc50666646"/>
      <w:bookmarkStart w:id="6" w:name="_Toc66976865"/>
      <w:r w:rsidRPr="004356A5">
        <w:rPr>
          <w:rFonts w:ascii="Times New Roman" w:eastAsia="仿宋" w:hAnsi="Times New Roman" w:cs="Times New Roman" w:hint="eastAsia"/>
          <w:b/>
          <w:color w:val="000000"/>
          <w:kern w:val="2"/>
        </w:rPr>
        <w:t>评估范围</w:t>
      </w:r>
      <w:r w:rsidRPr="00E1019A">
        <w:rPr>
          <w:rFonts w:ascii="Times New Roman" w:eastAsia="仿宋" w:hAnsi="Times New Roman" w:cs="Times New Roman"/>
          <w:b/>
          <w:color w:val="000000"/>
          <w:kern w:val="2"/>
        </w:rPr>
        <w:t>边界拐点坐标汇总表</w:t>
      </w:r>
      <w:bookmarkEnd w:id="5"/>
      <w:bookmarkEnd w:id="6"/>
    </w:p>
    <w:tbl>
      <w:tblPr>
        <w:tblStyle w:val="a4"/>
        <w:tblW w:w="0" w:type="auto"/>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973"/>
        <w:gridCol w:w="1076"/>
        <w:gridCol w:w="1644"/>
        <w:gridCol w:w="1659"/>
        <w:gridCol w:w="1610"/>
        <w:gridCol w:w="1560"/>
      </w:tblGrid>
      <w:tr w:rsidR="00E1019A" w:rsidRPr="00E1019A" w:rsidTr="004356A5">
        <w:trPr>
          <w:trHeight w:val="482"/>
          <w:tblHeader/>
        </w:trPr>
        <w:tc>
          <w:tcPr>
            <w:tcW w:w="1072" w:type="dxa"/>
            <w:vMerge w:val="restart"/>
            <w:vAlign w:val="center"/>
          </w:tcPr>
          <w:p w:rsidR="00E1019A" w:rsidRPr="00E1019A" w:rsidRDefault="00E1019A" w:rsidP="00E1019A">
            <w:pPr>
              <w:snapToGrid w:val="0"/>
              <w:spacing w:line="320" w:lineRule="exact"/>
              <w:jc w:val="center"/>
              <w:rPr>
                <w:rFonts w:ascii="Times New Roman" w:eastAsia="仿宋" w:hAnsi="Times New Roman" w:cs="Times New Roman"/>
                <w:b/>
                <w:color w:val="000000"/>
                <w:kern w:val="2"/>
                <w:sz w:val="21"/>
                <w:szCs w:val="21"/>
              </w:rPr>
            </w:pPr>
            <w:r w:rsidRPr="00E1019A">
              <w:rPr>
                <w:rFonts w:ascii="Times New Roman" w:eastAsia="仿宋" w:hAnsi="Times New Roman" w:cs="Times New Roman"/>
                <w:b/>
                <w:color w:val="000000"/>
                <w:kern w:val="2"/>
                <w:sz w:val="21"/>
                <w:szCs w:val="21"/>
              </w:rPr>
              <w:t>类</w:t>
            </w:r>
            <w:r w:rsidRPr="00E1019A">
              <w:rPr>
                <w:rFonts w:ascii="Times New Roman" w:eastAsia="仿宋" w:hAnsi="Times New Roman" w:cs="Times New Roman"/>
                <w:b/>
                <w:color w:val="000000"/>
                <w:kern w:val="2"/>
                <w:sz w:val="21"/>
                <w:szCs w:val="21"/>
              </w:rPr>
              <w:t xml:space="preserve">  </w:t>
            </w:r>
            <w:r w:rsidRPr="00E1019A">
              <w:rPr>
                <w:rFonts w:ascii="Times New Roman" w:eastAsia="仿宋" w:hAnsi="Times New Roman" w:cs="Times New Roman"/>
                <w:b/>
                <w:color w:val="000000"/>
                <w:kern w:val="2"/>
                <w:sz w:val="21"/>
                <w:szCs w:val="21"/>
              </w:rPr>
              <w:t>别</w:t>
            </w:r>
          </w:p>
        </w:tc>
        <w:tc>
          <w:tcPr>
            <w:tcW w:w="1177" w:type="dxa"/>
            <w:vMerge w:val="restart"/>
            <w:vAlign w:val="center"/>
          </w:tcPr>
          <w:p w:rsidR="00E1019A" w:rsidRPr="00E1019A" w:rsidRDefault="00E1019A" w:rsidP="00E1019A">
            <w:pPr>
              <w:snapToGrid w:val="0"/>
              <w:spacing w:line="320" w:lineRule="exact"/>
              <w:jc w:val="center"/>
              <w:rPr>
                <w:rFonts w:ascii="Times New Roman" w:eastAsia="仿宋" w:hAnsi="Times New Roman" w:cs="Times New Roman"/>
                <w:b/>
                <w:color w:val="000000"/>
                <w:kern w:val="2"/>
                <w:sz w:val="21"/>
                <w:szCs w:val="21"/>
              </w:rPr>
            </w:pPr>
            <w:r w:rsidRPr="00E1019A">
              <w:rPr>
                <w:rFonts w:ascii="Times New Roman" w:eastAsia="仿宋" w:hAnsi="Times New Roman" w:cs="Times New Roman"/>
                <w:b/>
                <w:color w:val="000000"/>
                <w:kern w:val="2"/>
                <w:sz w:val="21"/>
                <w:szCs w:val="21"/>
              </w:rPr>
              <w:t>拐点</w:t>
            </w:r>
          </w:p>
        </w:tc>
        <w:tc>
          <w:tcPr>
            <w:tcW w:w="3405" w:type="dxa"/>
            <w:gridSpan w:val="2"/>
            <w:vAlign w:val="center"/>
          </w:tcPr>
          <w:p w:rsidR="00E1019A" w:rsidRPr="00E1019A" w:rsidRDefault="00E1019A" w:rsidP="00E1019A">
            <w:pPr>
              <w:snapToGrid w:val="0"/>
              <w:spacing w:line="320" w:lineRule="exact"/>
              <w:jc w:val="center"/>
              <w:rPr>
                <w:rFonts w:ascii="Times New Roman" w:eastAsia="仿宋" w:hAnsi="Times New Roman" w:cs="Times New Roman"/>
                <w:b/>
                <w:color w:val="000000"/>
                <w:kern w:val="2"/>
                <w:sz w:val="21"/>
                <w:szCs w:val="21"/>
              </w:rPr>
            </w:pPr>
            <w:r w:rsidRPr="00E1019A">
              <w:rPr>
                <w:rFonts w:ascii="Times New Roman" w:eastAsia="仿宋" w:hAnsi="Times New Roman" w:cs="Times New Roman"/>
                <w:b/>
                <w:color w:val="000000"/>
                <w:kern w:val="2"/>
                <w:sz w:val="21"/>
                <w:szCs w:val="21"/>
              </w:rPr>
              <w:t>国家</w:t>
            </w:r>
            <w:r w:rsidRPr="00E1019A">
              <w:rPr>
                <w:rFonts w:ascii="Times New Roman" w:eastAsia="仿宋" w:hAnsi="Times New Roman" w:cs="Times New Roman"/>
                <w:b/>
                <w:color w:val="000000"/>
                <w:kern w:val="2"/>
                <w:sz w:val="21"/>
                <w:szCs w:val="21"/>
              </w:rPr>
              <w:t>2000</w:t>
            </w:r>
            <w:r w:rsidRPr="00E1019A">
              <w:rPr>
                <w:rFonts w:ascii="Times New Roman" w:eastAsia="仿宋" w:hAnsi="Times New Roman" w:cs="Times New Roman"/>
                <w:b/>
                <w:color w:val="000000"/>
                <w:kern w:val="2"/>
                <w:sz w:val="21"/>
                <w:szCs w:val="21"/>
              </w:rPr>
              <w:t>坐标系</w:t>
            </w:r>
          </w:p>
        </w:tc>
        <w:tc>
          <w:tcPr>
            <w:tcW w:w="3286" w:type="dxa"/>
            <w:gridSpan w:val="2"/>
          </w:tcPr>
          <w:p w:rsidR="00E1019A" w:rsidRPr="00E1019A" w:rsidRDefault="00E1019A" w:rsidP="00E1019A">
            <w:pPr>
              <w:snapToGrid w:val="0"/>
              <w:spacing w:line="320" w:lineRule="exact"/>
              <w:jc w:val="center"/>
              <w:rPr>
                <w:rFonts w:ascii="Times New Roman" w:eastAsia="仿宋" w:hAnsi="Times New Roman" w:cs="Times New Roman"/>
                <w:b/>
                <w:color w:val="000000"/>
                <w:kern w:val="2"/>
                <w:sz w:val="21"/>
                <w:szCs w:val="21"/>
              </w:rPr>
            </w:pPr>
            <w:r w:rsidRPr="00E1019A">
              <w:rPr>
                <w:rFonts w:ascii="Times New Roman" w:eastAsia="仿宋" w:hAnsi="Times New Roman" w:cs="Times New Roman"/>
                <w:b/>
                <w:color w:val="000000"/>
                <w:kern w:val="2"/>
                <w:sz w:val="21"/>
                <w:szCs w:val="21"/>
              </w:rPr>
              <w:t>天津</w:t>
            </w:r>
            <w:r w:rsidRPr="00E1019A">
              <w:rPr>
                <w:rFonts w:ascii="Times New Roman" w:eastAsia="仿宋" w:hAnsi="Times New Roman" w:cs="Times New Roman"/>
                <w:b/>
                <w:color w:val="000000"/>
                <w:kern w:val="2"/>
                <w:sz w:val="21"/>
                <w:szCs w:val="21"/>
              </w:rPr>
              <w:t>90</w:t>
            </w:r>
            <w:r w:rsidRPr="00E1019A">
              <w:rPr>
                <w:rFonts w:ascii="Times New Roman" w:eastAsia="仿宋" w:hAnsi="Times New Roman" w:cs="Times New Roman"/>
                <w:b/>
                <w:color w:val="000000"/>
                <w:kern w:val="2"/>
                <w:sz w:val="21"/>
                <w:szCs w:val="21"/>
              </w:rPr>
              <w:t>坐标系</w:t>
            </w:r>
          </w:p>
        </w:tc>
      </w:tr>
      <w:tr w:rsidR="00E1019A" w:rsidRPr="00E1019A" w:rsidTr="004356A5">
        <w:trPr>
          <w:trHeight w:val="399"/>
          <w:tblHeader/>
        </w:trPr>
        <w:tc>
          <w:tcPr>
            <w:tcW w:w="1072" w:type="dxa"/>
            <w:vMerge/>
          </w:tcPr>
          <w:p w:rsidR="00E1019A" w:rsidRPr="00E1019A" w:rsidRDefault="00E1019A" w:rsidP="00E1019A">
            <w:pPr>
              <w:snapToGrid w:val="0"/>
              <w:spacing w:line="320" w:lineRule="exact"/>
              <w:jc w:val="center"/>
              <w:rPr>
                <w:rFonts w:ascii="Times New Roman" w:eastAsia="仿宋" w:hAnsi="Times New Roman" w:cs="Times New Roman"/>
                <w:b/>
                <w:color w:val="000000"/>
                <w:kern w:val="2"/>
                <w:sz w:val="21"/>
                <w:szCs w:val="21"/>
              </w:rPr>
            </w:pPr>
          </w:p>
        </w:tc>
        <w:tc>
          <w:tcPr>
            <w:tcW w:w="1177" w:type="dxa"/>
            <w:vMerge/>
            <w:vAlign w:val="center"/>
          </w:tcPr>
          <w:p w:rsidR="00E1019A" w:rsidRPr="00E1019A" w:rsidRDefault="00E1019A" w:rsidP="00E1019A">
            <w:pPr>
              <w:snapToGrid w:val="0"/>
              <w:spacing w:line="320" w:lineRule="exact"/>
              <w:jc w:val="center"/>
              <w:rPr>
                <w:rFonts w:ascii="Times New Roman" w:eastAsia="仿宋" w:hAnsi="Times New Roman" w:cs="Times New Roman"/>
                <w:b/>
                <w:color w:val="000000"/>
                <w:kern w:val="2"/>
                <w:sz w:val="21"/>
                <w:szCs w:val="21"/>
              </w:rPr>
            </w:pPr>
          </w:p>
        </w:tc>
        <w:tc>
          <w:tcPr>
            <w:tcW w:w="1684" w:type="dxa"/>
            <w:vAlign w:val="center"/>
          </w:tcPr>
          <w:p w:rsidR="00E1019A" w:rsidRPr="00E1019A" w:rsidRDefault="00E1019A" w:rsidP="00E1019A">
            <w:pPr>
              <w:snapToGrid w:val="0"/>
              <w:spacing w:line="320" w:lineRule="exact"/>
              <w:jc w:val="center"/>
              <w:rPr>
                <w:rFonts w:ascii="Times New Roman" w:eastAsia="仿宋" w:hAnsi="Times New Roman" w:cs="Times New Roman"/>
                <w:b/>
                <w:color w:val="000000"/>
                <w:kern w:val="2"/>
                <w:sz w:val="21"/>
                <w:szCs w:val="21"/>
              </w:rPr>
            </w:pPr>
            <w:r w:rsidRPr="00E1019A">
              <w:rPr>
                <w:rFonts w:ascii="Times New Roman" w:eastAsia="仿宋" w:hAnsi="Times New Roman" w:cs="Times New Roman"/>
                <w:b/>
                <w:color w:val="000000"/>
                <w:kern w:val="2"/>
                <w:sz w:val="21"/>
                <w:szCs w:val="21"/>
              </w:rPr>
              <w:t>X</w:t>
            </w:r>
            <w:r w:rsidRPr="00E1019A">
              <w:rPr>
                <w:rFonts w:ascii="Times New Roman" w:eastAsia="仿宋" w:hAnsi="Times New Roman" w:cs="Times New Roman" w:hint="eastAsia"/>
                <w:b/>
                <w:color w:val="000000"/>
                <w:kern w:val="2"/>
                <w:sz w:val="21"/>
                <w:szCs w:val="21"/>
              </w:rPr>
              <w:t>(m)</w:t>
            </w:r>
          </w:p>
        </w:tc>
        <w:tc>
          <w:tcPr>
            <w:tcW w:w="1721" w:type="dxa"/>
            <w:vAlign w:val="center"/>
          </w:tcPr>
          <w:p w:rsidR="00E1019A" w:rsidRPr="00E1019A" w:rsidRDefault="00E1019A" w:rsidP="00E1019A">
            <w:pPr>
              <w:snapToGrid w:val="0"/>
              <w:spacing w:line="320" w:lineRule="exact"/>
              <w:jc w:val="center"/>
              <w:rPr>
                <w:rFonts w:ascii="Times New Roman" w:eastAsia="仿宋" w:hAnsi="Times New Roman" w:cs="Times New Roman"/>
                <w:b/>
                <w:color w:val="000000"/>
                <w:kern w:val="2"/>
                <w:sz w:val="21"/>
                <w:szCs w:val="21"/>
              </w:rPr>
            </w:pPr>
            <w:r w:rsidRPr="00E1019A">
              <w:rPr>
                <w:rFonts w:ascii="Times New Roman" w:eastAsia="仿宋" w:hAnsi="Times New Roman" w:cs="Times New Roman"/>
                <w:b/>
                <w:color w:val="000000"/>
                <w:kern w:val="2"/>
                <w:sz w:val="21"/>
                <w:szCs w:val="21"/>
              </w:rPr>
              <w:t>Y</w:t>
            </w:r>
            <w:r w:rsidRPr="00E1019A">
              <w:rPr>
                <w:rFonts w:ascii="Times New Roman" w:eastAsia="仿宋" w:hAnsi="Times New Roman" w:cs="Times New Roman" w:hint="eastAsia"/>
                <w:b/>
                <w:color w:val="000000"/>
                <w:kern w:val="2"/>
                <w:sz w:val="21"/>
                <w:szCs w:val="21"/>
              </w:rPr>
              <w:t>(m)</w:t>
            </w:r>
          </w:p>
        </w:tc>
        <w:tc>
          <w:tcPr>
            <w:tcW w:w="1663" w:type="dxa"/>
            <w:vAlign w:val="center"/>
          </w:tcPr>
          <w:p w:rsidR="00E1019A" w:rsidRPr="00E1019A" w:rsidRDefault="00E1019A" w:rsidP="00E1019A">
            <w:pPr>
              <w:snapToGrid w:val="0"/>
              <w:spacing w:line="320" w:lineRule="exact"/>
              <w:jc w:val="center"/>
              <w:rPr>
                <w:rFonts w:ascii="Times New Roman" w:eastAsia="仿宋" w:hAnsi="Times New Roman" w:cs="Times New Roman"/>
                <w:b/>
                <w:color w:val="000000"/>
                <w:kern w:val="2"/>
                <w:sz w:val="21"/>
                <w:szCs w:val="21"/>
              </w:rPr>
            </w:pPr>
            <w:r w:rsidRPr="00E1019A">
              <w:rPr>
                <w:rFonts w:ascii="Times New Roman" w:eastAsia="仿宋" w:hAnsi="Times New Roman" w:cs="Times New Roman"/>
                <w:b/>
                <w:color w:val="000000"/>
                <w:kern w:val="2"/>
                <w:sz w:val="21"/>
                <w:szCs w:val="21"/>
              </w:rPr>
              <w:t>X</w:t>
            </w:r>
            <w:r w:rsidRPr="00E1019A">
              <w:rPr>
                <w:rFonts w:ascii="Times New Roman" w:eastAsia="仿宋" w:hAnsi="Times New Roman" w:cs="Times New Roman" w:hint="eastAsia"/>
                <w:b/>
                <w:color w:val="000000"/>
                <w:kern w:val="2"/>
                <w:sz w:val="21"/>
                <w:szCs w:val="21"/>
              </w:rPr>
              <w:t>(m)</w:t>
            </w:r>
          </w:p>
        </w:tc>
        <w:tc>
          <w:tcPr>
            <w:tcW w:w="1623" w:type="dxa"/>
            <w:vAlign w:val="center"/>
          </w:tcPr>
          <w:p w:rsidR="00E1019A" w:rsidRPr="00E1019A" w:rsidRDefault="00E1019A" w:rsidP="00E1019A">
            <w:pPr>
              <w:snapToGrid w:val="0"/>
              <w:spacing w:line="320" w:lineRule="exact"/>
              <w:jc w:val="center"/>
              <w:rPr>
                <w:rFonts w:ascii="Times New Roman" w:eastAsia="仿宋" w:hAnsi="Times New Roman" w:cs="Times New Roman"/>
                <w:b/>
                <w:color w:val="000000"/>
                <w:kern w:val="2"/>
                <w:sz w:val="21"/>
                <w:szCs w:val="21"/>
              </w:rPr>
            </w:pPr>
            <w:r w:rsidRPr="00E1019A">
              <w:rPr>
                <w:rFonts w:ascii="Times New Roman" w:eastAsia="仿宋" w:hAnsi="Times New Roman" w:cs="Times New Roman"/>
                <w:b/>
                <w:color w:val="000000"/>
                <w:kern w:val="2"/>
                <w:sz w:val="21"/>
                <w:szCs w:val="21"/>
              </w:rPr>
              <w:t>Y</w:t>
            </w:r>
            <w:r w:rsidRPr="00E1019A">
              <w:rPr>
                <w:rFonts w:ascii="Times New Roman" w:eastAsia="仿宋" w:hAnsi="Times New Roman" w:cs="Times New Roman" w:hint="eastAsia"/>
                <w:b/>
                <w:color w:val="000000"/>
                <w:kern w:val="2"/>
                <w:sz w:val="21"/>
                <w:szCs w:val="21"/>
              </w:rPr>
              <w:t>(m)</w:t>
            </w:r>
          </w:p>
        </w:tc>
      </w:tr>
      <w:tr w:rsidR="00E1019A" w:rsidRPr="00E1019A" w:rsidTr="00B0177F">
        <w:tc>
          <w:tcPr>
            <w:tcW w:w="1072" w:type="dxa"/>
            <w:vMerge w:val="restart"/>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居住</w:t>
            </w:r>
            <w:r w:rsidRPr="00E1019A">
              <w:rPr>
                <w:rFonts w:ascii="Times New Roman" w:eastAsia="仿宋" w:hAnsi="Times New Roman" w:cs="Times New Roman"/>
                <w:color w:val="000000"/>
                <w:kern w:val="2"/>
                <w:sz w:val="21"/>
                <w:szCs w:val="21"/>
              </w:rPr>
              <w:t>3</w:t>
            </w:r>
          </w:p>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地块</w:t>
            </w:r>
          </w:p>
        </w:tc>
        <w:tc>
          <w:tcPr>
            <w:tcW w:w="1177"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3-1</w:t>
            </w:r>
          </w:p>
        </w:tc>
        <w:tc>
          <w:tcPr>
            <w:tcW w:w="1684"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4364404.5004</w:t>
            </w:r>
          </w:p>
        </w:tc>
        <w:tc>
          <w:tcPr>
            <w:tcW w:w="1721"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499867.4837</w:t>
            </w:r>
          </w:p>
        </w:tc>
        <w:tc>
          <w:tcPr>
            <w:tcW w:w="1663"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332007.3580</w:t>
            </w:r>
          </w:p>
        </w:tc>
        <w:tc>
          <w:tcPr>
            <w:tcW w:w="1623"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82862.2060</w:t>
            </w:r>
          </w:p>
        </w:tc>
      </w:tr>
      <w:tr w:rsidR="00E1019A" w:rsidRPr="00E1019A" w:rsidTr="00B0177F">
        <w:tc>
          <w:tcPr>
            <w:tcW w:w="1072" w:type="dxa"/>
            <w:vMerge/>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p>
        </w:tc>
        <w:tc>
          <w:tcPr>
            <w:tcW w:w="1177"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3-2</w:t>
            </w:r>
          </w:p>
        </w:tc>
        <w:tc>
          <w:tcPr>
            <w:tcW w:w="1684"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4364284.6869</w:t>
            </w:r>
          </w:p>
        </w:tc>
        <w:tc>
          <w:tcPr>
            <w:tcW w:w="1721"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500152.4451</w:t>
            </w:r>
          </w:p>
        </w:tc>
        <w:tc>
          <w:tcPr>
            <w:tcW w:w="1663"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331886.9227</w:t>
            </w:r>
          </w:p>
        </w:tc>
        <w:tc>
          <w:tcPr>
            <w:tcW w:w="1623"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83146.9061</w:t>
            </w:r>
          </w:p>
        </w:tc>
      </w:tr>
      <w:tr w:rsidR="00E1019A" w:rsidRPr="00E1019A" w:rsidTr="00B0177F">
        <w:tc>
          <w:tcPr>
            <w:tcW w:w="1072" w:type="dxa"/>
            <w:vMerge/>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p>
        </w:tc>
        <w:tc>
          <w:tcPr>
            <w:tcW w:w="1177"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3-3</w:t>
            </w:r>
          </w:p>
        </w:tc>
        <w:tc>
          <w:tcPr>
            <w:tcW w:w="1684"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4364279.7147</w:t>
            </w:r>
          </w:p>
        </w:tc>
        <w:tc>
          <w:tcPr>
            <w:tcW w:w="1721"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500152.1659</w:t>
            </w:r>
          </w:p>
        </w:tc>
        <w:tc>
          <w:tcPr>
            <w:tcW w:w="1663"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331881.9511</w:t>
            </w:r>
          </w:p>
        </w:tc>
        <w:tc>
          <w:tcPr>
            <w:tcW w:w="1623"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83146.6161</w:t>
            </w:r>
          </w:p>
        </w:tc>
      </w:tr>
      <w:tr w:rsidR="00E1019A" w:rsidRPr="00E1019A" w:rsidTr="00B0177F">
        <w:tc>
          <w:tcPr>
            <w:tcW w:w="1072" w:type="dxa"/>
            <w:vMerge/>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p>
        </w:tc>
        <w:tc>
          <w:tcPr>
            <w:tcW w:w="1177"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3-4</w:t>
            </w:r>
          </w:p>
        </w:tc>
        <w:tc>
          <w:tcPr>
            <w:tcW w:w="1684"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4364108.5697</w:t>
            </w:r>
          </w:p>
        </w:tc>
        <w:tc>
          <w:tcPr>
            <w:tcW w:w="1721"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500120.8629</w:t>
            </w:r>
          </w:p>
        </w:tc>
        <w:tc>
          <w:tcPr>
            <w:tcW w:w="1663"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331710.8742</w:t>
            </w:r>
          </w:p>
        </w:tc>
        <w:tc>
          <w:tcPr>
            <w:tcW w:w="1623"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83114.9396</w:t>
            </w:r>
          </w:p>
        </w:tc>
      </w:tr>
      <w:tr w:rsidR="00E1019A" w:rsidRPr="00E1019A" w:rsidTr="00B0177F">
        <w:tc>
          <w:tcPr>
            <w:tcW w:w="1072" w:type="dxa"/>
            <w:vMerge/>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p>
        </w:tc>
        <w:tc>
          <w:tcPr>
            <w:tcW w:w="1177"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3-5</w:t>
            </w:r>
          </w:p>
        </w:tc>
        <w:tc>
          <w:tcPr>
            <w:tcW w:w="1684"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4364099.6579</w:t>
            </w:r>
          </w:p>
        </w:tc>
        <w:tc>
          <w:tcPr>
            <w:tcW w:w="1721"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500115.6047</w:t>
            </w:r>
          </w:p>
        </w:tc>
        <w:tc>
          <w:tcPr>
            <w:tcW w:w="1663"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331701.9739</w:t>
            </w:r>
          </w:p>
        </w:tc>
        <w:tc>
          <w:tcPr>
            <w:tcW w:w="1623"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83109.6620</w:t>
            </w:r>
          </w:p>
        </w:tc>
      </w:tr>
      <w:tr w:rsidR="00E1019A" w:rsidRPr="00E1019A" w:rsidTr="00B0177F">
        <w:tc>
          <w:tcPr>
            <w:tcW w:w="1072" w:type="dxa"/>
            <w:vMerge/>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p>
        </w:tc>
        <w:tc>
          <w:tcPr>
            <w:tcW w:w="1177"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3-6</w:t>
            </w:r>
          </w:p>
        </w:tc>
        <w:tc>
          <w:tcPr>
            <w:tcW w:w="1684"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4364219.0018</w:t>
            </w:r>
          </w:p>
        </w:tc>
        <w:tc>
          <w:tcPr>
            <w:tcW w:w="1721"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499833.0781</w:t>
            </w:r>
          </w:p>
        </w:tc>
        <w:tc>
          <w:tcPr>
            <w:tcW w:w="1663"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331821.9344</w:t>
            </w:r>
          </w:p>
        </w:tc>
        <w:tc>
          <w:tcPr>
            <w:tcW w:w="1623"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82827.3956</w:t>
            </w:r>
          </w:p>
        </w:tc>
      </w:tr>
      <w:tr w:rsidR="00E1019A" w:rsidRPr="00E1019A" w:rsidTr="00B0177F">
        <w:tc>
          <w:tcPr>
            <w:tcW w:w="1072" w:type="dxa"/>
            <w:vMerge/>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p>
        </w:tc>
        <w:tc>
          <w:tcPr>
            <w:tcW w:w="1177"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3-7</w:t>
            </w:r>
          </w:p>
        </w:tc>
        <w:tc>
          <w:tcPr>
            <w:tcW w:w="1684"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4364222.9113</w:t>
            </w:r>
          </w:p>
        </w:tc>
        <w:tc>
          <w:tcPr>
            <w:tcW w:w="1721"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499833.2541</w:t>
            </w:r>
          </w:p>
        </w:tc>
        <w:tc>
          <w:tcPr>
            <w:tcW w:w="1663"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331825.8435</w:t>
            </w:r>
          </w:p>
        </w:tc>
        <w:tc>
          <w:tcPr>
            <w:tcW w:w="1623"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82827.5801</w:t>
            </w:r>
          </w:p>
        </w:tc>
      </w:tr>
      <w:tr w:rsidR="00E1019A" w:rsidRPr="00E1019A" w:rsidTr="00B0177F">
        <w:tc>
          <w:tcPr>
            <w:tcW w:w="1072" w:type="dxa"/>
            <w:vMerge/>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p>
        </w:tc>
        <w:tc>
          <w:tcPr>
            <w:tcW w:w="1177"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3-8</w:t>
            </w:r>
          </w:p>
        </w:tc>
        <w:tc>
          <w:tcPr>
            <w:tcW w:w="1684"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4364398.1020</w:t>
            </w:r>
          </w:p>
        </w:tc>
        <w:tc>
          <w:tcPr>
            <w:tcW w:w="1721"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499864.5416</w:t>
            </w:r>
          </w:p>
        </w:tc>
        <w:tc>
          <w:tcPr>
            <w:tcW w:w="1663"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332000.9660</w:t>
            </w:r>
          </w:p>
        </w:tc>
        <w:tc>
          <w:tcPr>
            <w:tcW w:w="1623"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82859.2499</w:t>
            </w:r>
          </w:p>
        </w:tc>
      </w:tr>
      <w:tr w:rsidR="00E1019A" w:rsidRPr="00E1019A" w:rsidTr="00B0177F">
        <w:tc>
          <w:tcPr>
            <w:tcW w:w="1072" w:type="dxa"/>
            <w:vMerge w:val="restart"/>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lastRenderedPageBreak/>
              <w:t>补充调查范围</w:t>
            </w:r>
          </w:p>
        </w:tc>
        <w:tc>
          <w:tcPr>
            <w:tcW w:w="1177"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ad1</w:t>
            </w:r>
          </w:p>
        </w:tc>
        <w:tc>
          <w:tcPr>
            <w:tcW w:w="1684"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4364175.5532</w:t>
            </w:r>
          </w:p>
        </w:tc>
        <w:tc>
          <w:tcPr>
            <w:tcW w:w="1721"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499820.8990</w:t>
            </w:r>
          </w:p>
        </w:tc>
        <w:tc>
          <w:tcPr>
            <w:tcW w:w="1663"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 xml:space="preserve">331778.5123 </w:t>
            </w:r>
          </w:p>
        </w:tc>
        <w:tc>
          <w:tcPr>
            <w:tcW w:w="1623"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 xml:space="preserve">82815.1217 </w:t>
            </w:r>
          </w:p>
        </w:tc>
      </w:tr>
      <w:tr w:rsidR="00E1019A" w:rsidRPr="00E1019A" w:rsidTr="00B0177F">
        <w:tc>
          <w:tcPr>
            <w:tcW w:w="1072" w:type="dxa"/>
            <w:vMerge/>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p>
        </w:tc>
        <w:tc>
          <w:tcPr>
            <w:tcW w:w="1177"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ad2</w:t>
            </w:r>
          </w:p>
        </w:tc>
        <w:tc>
          <w:tcPr>
            <w:tcW w:w="1684"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4364185.4214</w:t>
            </w:r>
          </w:p>
        </w:tc>
        <w:tc>
          <w:tcPr>
            <w:tcW w:w="1721"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499828.9064</w:t>
            </w:r>
          </w:p>
        </w:tc>
        <w:tc>
          <w:tcPr>
            <w:tcW w:w="1663"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 xml:space="preserve">331788.3630 </w:t>
            </w:r>
          </w:p>
        </w:tc>
        <w:tc>
          <w:tcPr>
            <w:tcW w:w="1623"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 xml:space="preserve">82823.1506 </w:t>
            </w:r>
          </w:p>
        </w:tc>
      </w:tr>
      <w:tr w:rsidR="00E1019A" w:rsidRPr="00E1019A" w:rsidTr="00B0177F">
        <w:tc>
          <w:tcPr>
            <w:tcW w:w="1072" w:type="dxa"/>
            <w:vMerge/>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p>
        </w:tc>
        <w:tc>
          <w:tcPr>
            <w:tcW w:w="1177"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ad3</w:t>
            </w:r>
          </w:p>
        </w:tc>
        <w:tc>
          <w:tcPr>
            <w:tcW w:w="1684"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4364188.7035</w:t>
            </w:r>
          </w:p>
        </w:tc>
        <w:tc>
          <w:tcPr>
            <w:tcW w:w="1721"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499842.8170</w:t>
            </w:r>
          </w:p>
        </w:tc>
        <w:tc>
          <w:tcPr>
            <w:tcW w:w="1663"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 xml:space="preserve">331791.6148 </w:t>
            </w:r>
          </w:p>
        </w:tc>
        <w:tc>
          <w:tcPr>
            <w:tcW w:w="1623"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 xml:space="preserve">82837.0684 </w:t>
            </w:r>
          </w:p>
        </w:tc>
      </w:tr>
      <w:tr w:rsidR="00E1019A" w:rsidRPr="00E1019A" w:rsidTr="00B0177F">
        <w:tc>
          <w:tcPr>
            <w:tcW w:w="1072" w:type="dxa"/>
            <w:vMerge/>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p>
        </w:tc>
        <w:tc>
          <w:tcPr>
            <w:tcW w:w="1177"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ad4</w:t>
            </w:r>
          </w:p>
        </w:tc>
        <w:tc>
          <w:tcPr>
            <w:tcW w:w="1684"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4364068.4305</w:t>
            </w:r>
          </w:p>
        </w:tc>
        <w:tc>
          <w:tcPr>
            <w:tcW w:w="1721"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500125.8894</w:t>
            </w:r>
          </w:p>
        </w:tc>
        <w:tc>
          <w:tcPr>
            <w:tcW w:w="1663"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 xml:space="preserve">331670.7936 </w:t>
            </w:r>
          </w:p>
        </w:tc>
        <w:tc>
          <w:tcPr>
            <w:tcW w:w="1623"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 xml:space="preserve">83119.8955 </w:t>
            </w:r>
          </w:p>
        </w:tc>
      </w:tr>
      <w:tr w:rsidR="00E1019A" w:rsidRPr="00E1019A" w:rsidTr="00B0177F">
        <w:tc>
          <w:tcPr>
            <w:tcW w:w="1072" w:type="dxa"/>
            <w:vMerge/>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p>
        </w:tc>
        <w:tc>
          <w:tcPr>
            <w:tcW w:w="1177"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ad5</w:t>
            </w:r>
          </w:p>
        </w:tc>
        <w:tc>
          <w:tcPr>
            <w:tcW w:w="1684"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4364279.5075</w:t>
            </w:r>
          </w:p>
        </w:tc>
        <w:tc>
          <w:tcPr>
            <w:tcW w:w="1721"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500164.7637</w:t>
            </w:r>
          </w:p>
        </w:tc>
        <w:tc>
          <w:tcPr>
            <w:tcW w:w="1663"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 xml:space="preserve">331881.8706 </w:t>
            </w:r>
          </w:p>
        </w:tc>
        <w:tc>
          <w:tcPr>
            <w:tcW w:w="1623"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 xml:space="preserve">83158.7698 </w:t>
            </w:r>
          </w:p>
        </w:tc>
      </w:tr>
      <w:tr w:rsidR="00E1019A" w:rsidRPr="00E1019A" w:rsidTr="00B0177F">
        <w:tc>
          <w:tcPr>
            <w:tcW w:w="1072" w:type="dxa"/>
            <w:vMerge/>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p>
        </w:tc>
        <w:tc>
          <w:tcPr>
            <w:tcW w:w="1177"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ad6</w:t>
            </w:r>
          </w:p>
        </w:tc>
        <w:tc>
          <w:tcPr>
            <w:tcW w:w="1684"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4364233.1616</w:t>
            </w:r>
          </w:p>
        </w:tc>
        <w:tc>
          <w:tcPr>
            <w:tcW w:w="1721"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500274.9915</w:t>
            </w:r>
          </w:p>
        </w:tc>
        <w:tc>
          <w:tcPr>
            <w:tcW w:w="1663"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 xml:space="preserve">331835.5247 </w:t>
            </w:r>
          </w:p>
        </w:tc>
        <w:tc>
          <w:tcPr>
            <w:tcW w:w="1623"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 xml:space="preserve">83268.9975 </w:t>
            </w:r>
          </w:p>
        </w:tc>
      </w:tr>
      <w:tr w:rsidR="00E1019A" w:rsidRPr="00E1019A" w:rsidTr="00B0177F">
        <w:tc>
          <w:tcPr>
            <w:tcW w:w="1072" w:type="dxa"/>
            <w:vMerge/>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p>
        </w:tc>
        <w:tc>
          <w:tcPr>
            <w:tcW w:w="1177"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ad7</w:t>
            </w:r>
          </w:p>
        </w:tc>
        <w:tc>
          <w:tcPr>
            <w:tcW w:w="1684"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4364228.4362</w:t>
            </w:r>
          </w:p>
        </w:tc>
        <w:tc>
          <w:tcPr>
            <w:tcW w:w="1721"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500275.1266</w:t>
            </w:r>
          </w:p>
        </w:tc>
        <w:tc>
          <w:tcPr>
            <w:tcW w:w="1663"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 xml:space="preserve">331830.4042 </w:t>
            </w:r>
          </w:p>
        </w:tc>
        <w:tc>
          <w:tcPr>
            <w:tcW w:w="1623"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 xml:space="preserve">83269.4650 </w:t>
            </w:r>
          </w:p>
        </w:tc>
      </w:tr>
      <w:tr w:rsidR="00E1019A" w:rsidRPr="00E1019A" w:rsidTr="00B0177F">
        <w:tc>
          <w:tcPr>
            <w:tcW w:w="1072" w:type="dxa"/>
            <w:vMerge/>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p>
        </w:tc>
        <w:tc>
          <w:tcPr>
            <w:tcW w:w="1177"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ad8</w:t>
            </w:r>
          </w:p>
        </w:tc>
        <w:tc>
          <w:tcPr>
            <w:tcW w:w="1684"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4363889.3370</w:t>
            </w:r>
          </w:p>
        </w:tc>
        <w:tc>
          <w:tcPr>
            <w:tcW w:w="1721"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500174.0729</w:t>
            </w:r>
          </w:p>
        </w:tc>
        <w:tc>
          <w:tcPr>
            <w:tcW w:w="1663"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 xml:space="preserve">331491.7001 </w:t>
            </w:r>
          </w:p>
        </w:tc>
        <w:tc>
          <w:tcPr>
            <w:tcW w:w="1623"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 xml:space="preserve">83168.0790 </w:t>
            </w:r>
          </w:p>
        </w:tc>
      </w:tr>
      <w:tr w:rsidR="00E1019A" w:rsidRPr="00E1019A" w:rsidTr="00B0177F">
        <w:tc>
          <w:tcPr>
            <w:tcW w:w="1072" w:type="dxa"/>
            <w:vMerge/>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p>
        </w:tc>
        <w:tc>
          <w:tcPr>
            <w:tcW w:w="1177"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ad9</w:t>
            </w:r>
          </w:p>
        </w:tc>
        <w:tc>
          <w:tcPr>
            <w:tcW w:w="1684"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4364046.5328</w:t>
            </w:r>
          </w:p>
        </w:tc>
        <w:tc>
          <w:tcPr>
            <w:tcW w:w="1721"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499801.9224</w:t>
            </w:r>
          </w:p>
        </w:tc>
        <w:tc>
          <w:tcPr>
            <w:tcW w:w="1663"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 xml:space="preserve">331648.8959 </w:t>
            </w:r>
          </w:p>
        </w:tc>
        <w:tc>
          <w:tcPr>
            <w:tcW w:w="1623" w:type="dxa"/>
            <w:vAlign w:val="center"/>
          </w:tcPr>
          <w:p w:rsidR="00E1019A" w:rsidRPr="00E1019A" w:rsidRDefault="00E1019A" w:rsidP="00E1019A">
            <w:pPr>
              <w:snapToGrid w:val="0"/>
              <w:spacing w:line="320" w:lineRule="exact"/>
              <w:jc w:val="center"/>
              <w:rPr>
                <w:rFonts w:ascii="Times New Roman" w:eastAsia="仿宋" w:hAnsi="Times New Roman" w:cs="Times New Roman"/>
                <w:color w:val="000000"/>
                <w:kern w:val="2"/>
                <w:sz w:val="21"/>
                <w:szCs w:val="21"/>
              </w:rPr>
            </w:pPr>
            <w:r w:rsidRPr="00E1019A">
              <w:rPr>
                <w:rFonts w:ascii="Times New Roman" w:eastAsia="仿宋" w:hAnsi="Times New Roman" w:cs="Times New Roman"/>
                <w:color w:val="000000"/>
                <w:kern w:val="2"/>
                <w:sz w:val="21"/>
                <w:szCs w:val="21"/>
              </w:rPr>
              <w:t xml:space="preserve">82795.9285 </w:t>
            </w:r>
          </w:p>
        </w:tc>
      </w:tr>
    </w:tbl>
    <w:p w:rsidR="00E1019A" w:rsidRPr="00E1019A" w:rsidRDefault="00E1019A" w:rsidP="00E1019A">
      <w:pPr>
        <w:widowControl w:val="0"/>
        <w:adjustRightInd w:val="0"/>
        <w:snapToGrid w:val="0"/>
        <w:ind w:firstLineChars="200" w:firstLine="560"/>
        <w:jc w:val="both"/>
        <w:rPr>
          <w:rFonts w:ascii="Times New Roman" w:eastAsia="仿宋" w:hAnsi="Times New Roman" w:cs="Times New Roman"/>
          <w:color w:val="000000"/>
          <w:kern w:val="2"/>
          <w:sz w:val="28"/>
          <w:szCs w:val="21"/>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E1019A" w:rsidRPr="00E1019A" w:rsidTr="00B0177F">
        <w:trPr>
          <w:jc w:val="center"/>
        </w:trPr>
        <w:tc>
          <w:tcPr>
            <w:tcW w:w="8940" w:type="dxa"/>
            <w:vAlign w:val="center"/>
          </w:tcPr>
          <w:p w:rsidR="00E1019A" w:rsidRPr="00E1019A" w:rsidRDefault="00E1019A" w:rsidP="00E1019A">
            <w:pPr>
              <w:widowControl w:val="0"/>
              <w:adjustRightInd w:val="0"/>
              <w:snapToGrid w:val="0"/>
              <w:jc w:val="center"/>
              <w:rPr>
                <w:rFonts w:ascii="Times New Roman" w:eastAsia="仿宋" w:hAnsi="Times New Roman" w:cs="Times New Roman"/>
                <w:color w:val="000000"/>
                <w:kern w:val="2"/>
                <w:sz w:val="28"/>
                <w:szCs w:val="21"/>
              </w:rPr>
            </w:pPr>
            <w:r w:rsidRPr="00E1019A">
              <w:rPr>
                <w:rFonts w:ascii="Times New Roman" w:eastAsia="仿宋" w:hAnsi="Times New Roman" w:cs="Times New Roman"/>
                <w:noProof/>
                <w:color w:val="000000"/>
                <w:kern w:val="2"/>
                <w:sz w:val="28"/>
                <w:szCs w:val="21"/>
              </w:rPr>
              <w:drawing>
                <wp:inline distT="0" distB="0" distL="0" distR="0" wp14:anchorId="22C1217D" wp14:editId="662E7ED7">
                  <wp:extent cx="5256000" cy="4432840"/>
                  <wp:effectExtent l="0" t="0" r="1905" b="6350"/>
                  <wp:docPr id="1" name="图片 1" descr="E:\2020年工作\武清3号地块外围调查\补充调查范围\补充调查范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2020年工作\武清3号地块外围调查\补充调查范围\补充调查范围.JPG"/>
                          <pic:cNvPicPr>
                            <a:picLocks noChangeAspect="1" noChangeArrowheads="1"/>
                          </pic:cNvPicPr>
                        </pic:nvPicPr>
                        <pic:blipFill rotWithShape="1">
                          <a:blip r:embed="rId5" cstate="print">
                            <a:extLst>
                              <a:ext uri="{28A0092B-C50C-407E-A947-70E740481C1C}">
                                <a14:useLocalDpi xmlns:a14="http://schemas.microsoft.com/office/drawing/2010/main"/>
                              </a:ext>
                            </a:extLst>
                          </a:blip>
                          <a:srcRect b="5346"/>
                          <a:stretch/>
                        </pic:blipFill>
                        <pic:spPr bwMode="auto">
                          <a:xfrm>
                            <a:off x="0" y="0"/>
                            <a:ext cx="5256000" cy="443284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1019A" w:rsidRPr="00E1019A" w:rsidTr="00B0177F">
        <w:trPr>
          <w:jc w:val="center"/>
        </w:trPr>
        <w:tc>
          <w:tcPr>
            <w:tcW w:w="8940" w:type="dxa"/>
            <w:vAlign w:val="center"/>
          </w:tcPr>
          <w:p w:rsidR="00E1019A" w:rsidRPr="00E1019A" w:rsidRDefault="00E1019A" w:rsidP="00E1019A">
            <w:pPr>
              <w:adjustRightInd w:val="0"/>
              <w:snapToGrid w:val="0"/>
              <w:jc w:val="center"/>
              <w:rPr>
                <w:rFonts w:ascii="Times New Roman" w:eastAsia="仿宋" w:hAnsi="Times New Roman" w:cs="Times New Roman"/>
                <w:b/>
                <w:color w:val="000000"/>
                <w:kern w:val="2"/>
              </w:rPr>
            </w:pPr>
            <w:bookmarkStart w:id="7" w:name="_Toc66976510"/>
            <w:r w:rsidRPr="00E1019A">
              <w:rPr>
                <w:rFonts w:ascii="Times New Roman" w:eastAsia="仿宋" w:hAnsi="Times New Roman" w:cs="Times New Roman"/>
                <w:b/>
                <w:color w:val="000000"/>
                <w:kern w:val="2"/>
              </w:rPr>
              <w:t>评估范围及拐点分布图</w:t>
            </w:r>
            <w:bookmarkEnd w:id="7"/>
          </w:p>
        </w:tc>
      </w:tr>
    </w:tbl>
    <w:p w:rsidR="00E1019A" w:rsidRPr="00E1019A" w:rsidRDefault="00E1019A" w:rsidP="00E1019A">
      <w:pPr>
        <w:ind w:firstLineChars="200" w:firstLine="480"/>
      </w:pPr>
    </w:p>
    <w:p w:rsidR="00E1019A" w:rsidRPr="005371A9" w:rsidRDefault="00E1019A" w:rsidP="00E1019A">
      <w:pPr>
        <w:adjustRightInd w:val="0"/>
        <w:snapToGrid w:val="0"/>
        <w:outlineLvl w:val="1"/>
        <w:rPr>
          <w:b/>
          <w:sz w:val="28"/>
          <w:szCs w:val="28"/>
        </w:rPr>
      </w:pPr>
      <w:r>
        <w:rPr>
          <w:rFonts w:hint="eastAsia"/>
          <w:b/>
          <w:sz w:val="28"/>
          <w:szCs w:val="28"/>
        </w:rPr>
        <w:t>2 风险评估</w:t>
      </w:r>
    </w:p>
    <w:p w:rsidR="00E1019A" w:rsidRDefault="00E1019A" w:rsidP="00E1019A">
      <w:pPr>
        <w:widowControl w:val="0"/>
        <w:ind w:firstLineChars="200" w:firstLine="480"/>
        <w:jc w:val="both"/>
        <w:rPr>
          <w:rFonts w:asciiTheme="minorEastAsia" w:eastAsiaTheme="minorEastAsia" w:hAnsiTheme="minorEastAsia" w:cs="Times New Roman"/>
          <w:kern w:val="2"/>
        </w:rPr>
      </w:pPr>
      <w:r w:rsidRPr="00E1019A">
        <w:rPr>
          <w:rFonts w:asciiTheme="minorEastAsia" w:eastAsiaTheme="minorEastAsia" w:hAnsiTheme="minorEastAsia" w:cs="Times New Roman" w:hint="eastAsia"/>
          <w:kern w:val="2"/>
        </w:rPr>
        <w:t>地下水中超标污染物</w:t>
      </w:r>
      <w:proofErr w:type="spellStart"/>
      <w:r w:rsidRPr="00E1019A">
        <w:rPr>
          <w:rFonts w:asciiTheme="minorEastAsia" w:eastAsiaTheme="minorEastAsia" w:hAnsiTheme="minorEastAsia" w:cs="Times New Roman"/>
          <w:kern w:val="2"/>
        </w:rPr>
        <w:t>COD</w:t>
      </w:r>
      <w:r w:rsidRPr="00E1019A">
        <w:rPr>
          <w:rFonts w:asciiTheme="minorEastAsia" w:eastAsiaTheme="minorEastAsia" w:hAnsiTheme="minorEastAsia" w:cs="Times New Roman"/>
          <w:kern w:val="2"/>
          <w:vertAlign w:val="subscript"/>
        </w:rPr>
        <w:t>Cr</w:t>
      </w:r>
      <w:proofErr w:type="spellEnd"/>
      <w:r w:rsidRPr="00E1019A">
        <w:rPr>
          <w:rFonts w:asciiTheme="minorEastAsia" w:eastAsiaTheme="minorEastAsia" w:hAnsiTheme="minorEastAsia" w:cs="Times New Roman" w:hint="eastAsia"/>
          <w:kern w:val="2"/>
        </w:rPr>
        <w:t>和</w:t>
      </w:r>
      <w:r w:rsidRPr="00E1019A">
        <w:rPr>
          <w:rFonts w:asciiTheme="minorEastAsia" w:eastAsiaTheme="minorEastAsia" w:hAnsiTheme="minorEastAsia" w:cs="Times New Roman"/>
          <w:kern w:val="2"/>
        </w:rPr>
        <w:t>色度</w:t>
      </w:r>
      <w:r w:rsidRPr="00E1019A">
        <w:rPr>
          <w:rFonts w:asciiTheme="minorEastAsia" w:eastAsiaTheme="minorEastAsia" w:hAnsiTheme="minorEastAsia" w:cs="Times New Roman" w:hint="eastAsia"/>
          <w:kern w:val="2"/>
        </w:rPr>
        <w:t>属于综合性水质指标，不是具体的毒性物质，因此不对</w:t>
      </w:r>
      <w:proofErr w:type="spellStart"/>
      <w:r w:rsidRPr="00E1019A">
        <w:rPr>
          <w:rFonts w:asciiTheme="minorEastAsia" w:eastAsiaTheme="minorEastAsia" w:hAnsiTheme="minorEastAsia" w:cs="Times New Roman"/>
          <w:kern w:val="2"/>
        </w:rPr>
        <w:t>COD</w:t>
      </w:r>
      <w:r w:rsidRPr="00E1019A">
        <w:rPr>
          <w:rFonts w:asciiTheme="minorEastAsia" w:eastAsiaTheme="minorEastAsia" w:hAnsiTheme="minorEastAsia" w:cs="Times New Roman"/>
          <w:kern w:val="2"/>
          <w:vertAlign w:val="subscript"/>
        </w:rPr>
        <w:t>Cr</w:t>
      </w:r>
      <w:proofErr w:type="spellEnd"/>
      <w:r w:rsidRPr="00E1019A">
        <w:rPr>
          <w:rFonts w:asciiTheme="minorEastAsia" w:eastAsiaTheme="minorEastAsia" w:hAnsiTheme="minorEastAsia" w:cs="Times New Roman" w:hint="eastAsia"/>
          <w:kern w:val="2"/>
        </w:rPr>
        <w:t>和</w:t>
      </w:r>
      <w:r w:rsidRPr="00E1019A">
        <w:rPr>
          <w:rFonts w:asciiTheme="minorEastAsia" w:eastAsiaTheme="minorEastAsia" w:hAnsiTheme="minorEastAsia" w:cs="Times New Roman"/>
          <w:kern w:val="2"/>
        </w:rPr>
        <w:t>色度</w:t>
      </w:r>
      <w:r w:rsidRPr="00E1019A">
        <w:rPr>
          <w:rFonts w:asciiTheme="minorEastAsia" w:eastAsiaTheme="minorEastAsia" w:hAnsiTheme="minorEastAsia" w:cs="Times New Roman" w:hint="eastAsia"/>
          <w:kern w:val="2"/>
        </w:rPr>
        <w:t>开展风险评估。</w:t>
      </w:r>
      <w:r w:rsidRPr="00E1019A">
        <w:rPr>
          <w:rFonts w:asciiTheme="minorEastAsia" w:eastAsiaTheme="minorEastAsia" w:hAnsiTheme="minorEastAsia" w:cs="Times New Roman"/>
          <w:kern w:val="2"/>
        </w:rPr>
        <w:t>石油烃（C</w:t>
      </w:r>
      <w:r w:rsidRPr="00E1019A">
        <w:rPr>
          <w:rFonts w:asciiTheme="minorEastAsia" w:eastAsiaTheme="minorEastAsia" w:hAnsiTheme="minorEastAsia" w:cs="Times New Roman"/>
          <w:kern w:val="2"/>
          <w:vertAlign w:val="subscript"/>
        </w:rPr>
        <w:t>10</w:t>
      </w:r>
      <w:r w:rsidRPr="00E1019A">
        <w:rPr>
          <w:rFonts w:asciiTheme="minorEastAsia" w:eastAsiaTheme="minorEastAsia" w:hAnsiTheme="minorEastAsia" w:cs="Times New Roman"/>
          <w:kern w:val="2"/>
        </w:rPr>
        <w:t>-C</w:t>
      </w:r>
      <w:r w:rsidRPr="00E1019A">
        <w:rPr>
          <w:rFonts w:asciiTheme="minorEastAsia" w:eastAsiaTheme="minorEastAsia" w:hAnsiTheme="minorEastAsia" w:cs="Times New Roman"/>
          <w:kern w:val="2"/>
          <w:vertAlign w:val="subscript"/>
        </w:rPr>
        <w:t>40</w:t>
      </w:r>
      <w:r w:rsidRPr="00E1019A">
        <w:rPr>
          <w:rFonts w:asciiTheme="minorEastAsia" w:eastAsiaTheme="minorEastAsia" w:hAnsiTheme="minorEastAsia" w:cs="Times New Roman"/>
          <w:kern w:val="2"/>
        </w:rPr>
        <w:t>）</w:t>
      </w:r>
      <w:r w:rsidRPr="00E1019A">
        <w:rPr>
          <w:rFonts w:asciiTheme="minorEastAsia" w:eastAsiaTheme="minorEastAsia" w:hAnsiTheme="minorEastAsia" w:cs="Times New Roman" w:hint="eastAsia"/>
          <w:kern w:val="2"/>
        </w:rPr>
        <w:t>应考虑吸入室外空气中来自地下水的气态污染物和吸入室内空气中来自地下水的气态污染物的暴露途径。</w:t>
      </w:r>
    </w:p>
    <w:p w:rsidR="00E1019A" w:rsidRPr="00E1019A" w:rsidRDefault="00E1019A" w:rsidP="004356A5">
      <w:pPr>
        <w:widowControl w:val="0"/>
        <w:ind w:firstLineChars="200" w:firstLine="480"/>
        <w:jc w:val="both"/>
        <w:rPr>
          <w:rFonts w:asciiTheme="minorEastAsia" w:eastAsiaTheme="minorEastAsia" w:hAnsiTheme="minorEastAsia" w:cs="Times New Roman"/>
          <w:color w:val="000000"/>
          <w:kern w:val="2"/>
          <w:lang w:bidi="zh-CN"/>
        </w:rPr>
      </w:pPr>
      <w:r w:rsidRPr="00E1019A">
        <w:rPr>
          <w:rFonts w:asciiTheme="minorEastAsia" w:eastAsiaTheme="minorEastAsia" w:hAnsiTheme="minorEastAsia" w:cs="Times New Roman"/>
          <w:color w:val="000000"/>
          <w:kern w:val="2"/>
          <w:lang w:bidi="zh-CN"/>
        </w:rPr>
        <w:t>地下水石油烃（C</w:t>
      </w:r>
      <w:r w:rsidRPr="00E1019A">
        <w:rPr>
          <w:rFonts w:asciiTheme="minorEastAsia" w:eastAsiaTheme="minorEastAsia" w:hAnsiTheme="minorEastAsia" w:cs="Times New Roman"/>
          <w:color w:val="000000"/>
          <w:kern w:val="2"/>
          <w:vertAlign w:val="subscript"/>
          <w:lang w:bidi="zh-CN"/>
        </w:rPr>
        <w:t>10</w:t>
      </w:r>
      <w:r w:rsidRPr="00E1019A">
        <w:rPr>
          <w:rFonts w:asciiTheme="minorEastAsia" w:eastAsiaTheme="minorEastAsia" w:hAnsiTheme="minorEastAsia" w:cs="Times New Roman"/>
          <w:color w:val="000000"/>
          <w:kern w:val="2"/>
          <w:lang w:bidi="zh-CN"/>
        </w:rPr>
        <w:t>-C</w:t>
      </w:r>
      <w:r w:rsidRPr="00E1019A">
        <w:rPr>
          <w:rFonts w:asciiTheme="minorEastAsia" w:eastAsiaTheme="minorEastAsia" w:hAnsiTheme="minorEastAsia" w:cs="Times New Roman"/>
          <w:color w:val="000000"/>
          <w:kern w:val="2"/>
          <w:vertAlign w:val="subscript"/>
          <w:lang w:bidi="zh-CN"/>
        </w:rPr>
        <w:t>40</w:t>
      </w:r>
      <w:r w:rsidRPr="00E1019A">
        <w:rPr>
          <w:rFonts w:asciiTheme="minorEastAsia" w:eastAsiaTheme="minorEastAsia" w:hAnsiTheme="minorEastAsia" w:cs="Times New Roman"/>
          <w:color w:val="000000"/>
          <w:kern w:val="2"/>
          <w:lang w:bidi="zh-CN"/>
        </w:rPr>
        <w:t>）在脂肪烃C</w:t>
      </w:r>
      <w:r w:rsidRPr="00E1019A">
        <w:rPr>
          <w:rFonts w:asciiTheme="minorEastAsia" w:eastAsiaTheme="minorEastAsia" w:hAnsiTheme="minorEastAsia" w:cs="Times New Roman"/>
          <w:color w:val="000000"/>
          <w:kern w:val="2"/>
          <w:vertAlign w:val="subscript"/>
          <w:lang w:bidi="zh-CN"/>
        </w:rPr>
        <w:t>10</w:t>
      </w:r>
      <w:r w:rsidRPr="00E1019A">
        <w:rPr>
          <w:rFonts w:asciiTheme="minorEastAsia" w:eastAsiaTheme="minorEastAsia" w:hAnsiTheme="minorEastAsia" w:cs="Times New Roman"/>
          <w:color w:val="000000"/>
          <w:kern w:val="2"/>
          <w:lang w:bidi="zh-CN"/>
        </w:rPr>
        <w:t>-C</w:t>
      </w:r>
      <w:r w:rsidRPr="00E1019A">
        <w:rPr>
          <w:rFonts w:asciiTheme="minorEastAsia" w:eastAsiaTheme="minorEastAsia" w:hAnsiTheme="minorEastAsia" w:cs="Times New Roman"/>
          <w:color w:val="000000"/>
          <w:kern w:val="2"/>
          <w:vertAlign w:val="subscript"/>
          <w:lang w:bidi="zh-CN"/>
        </w:rPr>
        <w:t>12</w:t>
      </w:r>
      <w:r w:rsidRPr="00E1019A">
        <w:rPr>
          <w:rFonts w:asciiTheme="minorEastAsia" w:eastAsiaTheme="minorEastAsia" w:hAnsiTheme="minorEastAsia" w:cs="Times New Roman"/>
          <w:color w:val="000000"/>
          <w:kern w:val="2"/>
          <w:lang w:bidi="zh-CN"/>
        </w:rPr>
        <w:t>、C</w:t>
      </w:r>
      <w:r w:rsidRPr="00E1019A">
        <w:rPr>
          <w:rFonts w:asciiTheme="minorEastAsia" w:eastAsiaTheme="minorEastAsia" w:hAnsiTheme="minorEastAsia" w:cs="Times New Roman"/>
          <w:color w:val="000000"/>
          <w:kern w:val="2"/>
          <w:vertAlign w:val="subscript"/>
          <w:lang w:bidi="zh-CN"/>
        </w:rPr>
        <w:t>13</w:t>
      </w:r>
      <w:r w:rsidRPr="00E1019A">
        <w:rPr>
          <w:rFonts w:asciiTheme="minorEastAsia" w:eastAsiaTheme="minorEastAsia" w:hAnsiTheme="minorEastAsia" w:cs="Times New Roman"/>
          <w:color w:val="000000"/>
          <w:kern w:val="2"/>
          <w:lang w:bidi="zh-CN"/>
        </w:rPr>
        <w:t>-C</w:t>
      </w:r>
      <w:r w:rsidRPr="00E1019A">
        <w:rPr>
          <w:rFonts w:asciiTheme="minorEastAsia" w:eastAsiaTheme="minorEastAsia" w:hAnsiTheme="minorEastAsia" w:cs="Times New Roman"/>
          <w:color w:val="000000"/>
          <w:kern w:val="2"/>
          <w:vertAlign w:val="subscript"/>
          <w:lang w:bidi="zh-CN"/>
        </w:rPr>
        <w:t>16</w:t>
      </w:r>
      <w:r w:rsidRPr="00E1019A">
        <w:rPr>
          <w:rFonts w:asciiTheme="minorEastAsia" w:eastAsiaTheme="minorEastAsia" w:hAnsiTheme="minorEastAsia" w:cs="Times New Roman"/>
          <w:color w:val="000000"/>
          <w:kern w:val="2"/>
          <w:lang w:bidi="zh-CN"/>
        </w:rPr>
        <w:t>段，非致癌危害商大于1，</w:t>
      </w:r>
      <w:r w:rsidRPr="00E1019A">
        <w:rPr>
          <w:rFonts w:asciiTheme="minorEastAsia" w:eastAsiaTheme="minorEastAsia" w:hAnsiTheme="minorEastAsia" w:cs="Times New Roman"/>
          <w:color w:val="000000"/>
          <w:kern w:val="2"/>
          <w:lang w:bidi="zh-CN"/>
        </w:rPr>
        <w:lastRenderedPageBreak/>
        <w:t>对人体健康存在风险。</w:t>
      </w:r>
    </w:p>
    <w:p w:rsidR="00E1019A" w:rsidRPr="00E1019A" w:rsidRDefault="00E1019A" w:rsidP="00E1019A">
      <w:pPr>
        <w:adjustRightInd w:val="0"/>
        <w:snapToGrid w:val="0"/>
        <w:outlineLvl w:val="1"/>
        <w:rPr>
          <w:b/>
          <w:sz w:val="28"/>
          <w:szCs w:val="28"/>
        </w:rPr>
      </w:pPr>
      <w:r>
        <w:rPr>
          <w:rFonts w:hint="eastAsia"/>
          <w:b/>
          <w:sz w:val="28"/>
          <w:szCs w:val="28"/>
        </w:rPr>
        <w:t>3 修复</w:t>
      </w:r>
      <w:r w:rsidR="00256D3F">
        <w:rPr>
          <w:rFonts w:hint="eastAsia"/>
          <w:b/>
          <w:sz w:val="28"/>
          <w:szCs w:val="28"/>
        </w:rPr>
        <w:t>目标及</w:t>
      </w:r>
      <w:r>
        <w:rPr>
          <w:rFonts w:hint="eastAsia"/>
          <w:b/>
          <w:sz w:val="28"/>
          <w:szCs w:val="28"/>
        </w:rPr>
        <w:t>范围</w:t>
      </w:r>
    </w:p>
    <w:p w:rsidR="00E1019A" w:rsidRPr="00E1019A" w:rsidRDefault="00E1019A" w:rsidP="00E1019A">
      <w:pPr>
        <w:widowControl w:val="0"/>
        <w:ind w:firstLineChars="200" w:firstLine="480"/>
        <w:jc w:val="both"/>
        <w:rPr>
          <w:rFonts w:asciiTheme="minorEastAsia" w:eastAsiaTheme="minorEastAsia" w:hAnsiTheme="minorEastAsia" w:cs="Times New Roman"/>
          <w:color w:val="000000"/>
          <w:kern w:val="2"/>
        </w:rPr>
      </w:pPr>
      <w:r w:rsidRPr="00E1019A">
        <w:rPr>
          <w:rFonts w:asciiTheme="minorEastAsia" w:eastAsiaTheme="minorEastAsia" w:hAnsiTheme="minorEastAsia" w:cs="Times New Roman" w:hint="eastAsia"/>
          <w:color w:val="000000"/>
          <w:kern w:val="2"/>
        </w:rPr>
        <w:t>根据《建设用地土壤修复技术导则》（HJ 25.4-2019）的要求，对风险评估</w:t>
      </w:r>
      <w:proofErr w:type="gramStart"/>
      <w:r w:rsidRPr="00E1019A">
        <w:rPr>
          <w:rFonts w:asciiTheme="minorEastAsia" w:eastAsiaTheme="minorEastAsia" w:hAnsiTheme="minorEastAsia" w:cs="Times New Roman" w:hint="eastAsia"/>
          <w:color w:val="000000"/>
          <w:kern w:val="2"/>
        </w:rPr>
        <w:t>公式反算的</w:t>
      </w:r>
      <w:proofErr w:type="gramEnd"/>
      <w:r w:rsidRPr="00E1019A">
        <w:rPr>
          <w:rFonts w:asciiTheme="minorEastAsia" w:eastAsiaTheme="minorEastAsia" w:hAnsiTheme="minorEastAsia" w:cs="Times New Roman" w:hint="eastAsia"/>
          <w:color w:val="000000"/>
          <w:kern w:val="2"/>
        </w:rPr>
        <w:t>地下水控制值与《</w:t>
      </w:r>
      <w:r w:rsidRPr="00E1019A">
        <w:rPr>
          <w:rFonts w:asciiTheme="minorEastAsia" w:eastAsiaTheme="minorEastAsia" w:hAnsiTheme="minorEastAsia" w:cs="Times New Roman"/>
          <w:color w:val="000000"/>
          <w:kern w:val="2"/>
        </w:rPr>
        <w:t>上海市建设用地土壤污染状况调查、风险评估、风险管控与修复方案编制、风险管控与修复效果评估工作的补充规定(试行)》中第一类用地的筛选值</w:t>
      </w:r>
      <w:r w:rsidRPr="00E1019A">
        <w:rPr>
          <w:rFonts w:asciiTheme="minorEastAsia" w:eastAsiaTheme="minorEastAsia" w:hAnsiTheme="minorEastAsia" w:cs="Times New Roman" w:hint="eastAsia"/>
          <w:color w:val="000000"/>
          <w:kern w:val="2"/>
        </w:rPr>
        <w:t>进行比较，</w:t>
      </w:r>
      <w:proofErr w:type="gramStart"/>
      <w:r w:rsidRPr="00E1019A">
        <w:rPr>
          <w:rFonts w:asciiTheme="minorEastAsia" w:eastAsiaTheme="minorEastAsia" w:hAnsiTheme="minorEastAsia" w:cs="Times New Roman" w:hint="eastAsia"/>
          <w:color w:val="000000"/>
          <w:kern w:val="2"/>
        </w:rPr>
        <w:t>确定</w:t>
      </w:r>
      <w:r w:rsidRPr="00E1019A">
        <w:rPr>
          <w:rFonts w:asciiTheme="minorEastAsia" w:eastAsiaTheme="minorEastAsia" w:hAnsiTheme="minorEastAsia" w:cs="Times New Roman"/>
          <w:color w:val="000000"/>
          <w:kern w:val="2"/>
        </w:rPr>
        <w:t>第</w:t>
      </w:r>
      <w:proofErr w:type="gramEnd"/>
      <w:r w:rsidRPr="00E1019A">
        <w:rPr>
          <w:rFonts w:asciiTheme="minorEastAsia" w:eastAsiaTheme="minorEastAsia" w:hAnsiTheme="minorEastAsia" w:cs="Times New Roman"/>
          <w:color w:val="000000"/>
          <w:kern w:val="2"/>
        </w:rPr>
        <w:t>一类用地的筛选值</w:t>
      </w:r>
      <w:r>
        <w:rPr>
          <w:rFonts w:asciiTheme="minorEastAsia" w:eastAsiaTheme="minorEastAsia" w:hAnsiTheme="minorEastAsia" w:cs="Times New Roman" w:hint="eastAsia"/>
          <w:color w:val="000000"/>
          <w:kern w:val="2"/>
        </w:rPr>
        <w:t>（0.6 mg/L）</w:t>
      </w:r>
      <w:r w:rsidRPr="00E1019A">
        <w:rPr>
          <w:rFonts w:asciiTheme="minorEastAsia" w:eastAsiaTheme="minorEastAsia" w:hAnsiTheme="minorEastAsia" w:cs="Times New Roman" w:hint="eastAsia"/>
          <w:color w:val="000000"/>
          <w:kern w:val="2"/>
        </w:rPr>
        <w:t>作为</w:t>
      </w:r>
      <w:r w:rsidRPr="00E1019A">
        <w:rPr>
          <w:rFonts w:asciiTheme="minorEastAsia" w:eastAsiaTheme="minorEastAsia" w:hAnsiTheme="minorEastAsia" w:cs="Times New Roman"/>
          <w:color w:val="000000"/>
          <w:kern w:val="2"/>
        </w:rPr>
        <w:t>石油烃（C</w:t>
      </w:r>
      <w:r w:rsidRPr="00E1019A">
        <w:rPr>
          <w:rFonts w:asciiTheme="minorEastAsia" w:eastAsiaTheme="minorEastAsia" w:hAnsiTheme="minorEastAsia" w:cs="Times New Roman"/>
          <w:color w:val="000000"/>
          <w:kern w:val="2"/>
          <w:vertAlign w:val="subscript"/>
        </w:rPr>
        <w:t>10</w:t>
      </w:r>
      <w:r w:rsidRPr="00E1019A">
        <w:rPr>
          <w:rFonts w:asciiTheme="minorEastAsia" w:eastAsiaTheme="minorEastAsia" w:hAnsiTheme="minorEastAsia" w:cs="Times New Roman"/>
          <w:color w:val="000000"/>
          <w:kern w:val="2"/>
        </w:rPr>
        <w:t>-C</w:t>
      </w:r>
      <w:r w:rsidRPr="00E1019A">
        <w:rPr>
          <w:rFonts w:asciiTheme="minorEastAsia" w:eastAsiaTheme="minorEastAsia" w:hAnsiTheme="minorEastAsia" w:cs="Times New Roman"/>
          <w:color w:val="000000"/>
          <w:kern w:val="2"/>
          <w:vertAlign w:val="subscript"/>
        </w:rPr>
        <w:t>40</w:t>
      </w:r>
      <w:r w:rsidRPr="00E1019A">
        <w:rPr>
          <w:rFonts w:asciiTheme="minorEastAsia" w:eastAsiaTheme="minorEastAsia" w:hAnsiTheme="minorEastAsia" w:cs="Times New Roman"/>
          <w:color w:val="000000"/>
          <w:kern w:val="2"/>
        </w:rPr>
        <w:t>）</w:t>
      </w:r>
      <w:r w:rsidRPr="00E1019A">
        <w:rPr>
          <w:rFonts w:asciiTheme="minorEastAsia" w:eastAsiaTheme="minorEastAsia" w:hAnsiTheme="minorEastAsia" w:cs="Times New Roman" w:hint="eastAsia"/>
          <w:color w:val="000000"/>
          <w:kern w:val="2"/>
        </w:rPr>
        <w:t>修复目标值。</w:t>
      </w:r>
      <w:r w:rsidRPr="00E1019A">
        <w:rPr>
          <w:rFonts w:asciiTheme="minorEastAsia" w:eastAsiaTheme="minorEastAsia" w:hAnsiTheme="minorEastAsia" w:cs="Times New Roman"/>
          <w:color w:val="000000"/>
          <w:kern w:val="2"/>
        </w:rPr>
        <w:t>石油烃（C</w:t>
      </w:r>
      <w:r w:rsidRPr="00E1019A">
        <w:rPr>
          <w:rFonts w:asciiTheme="minorEastAsia" w:eastAsiaTheme="minorEastAsia" w:hAnsiTheme="minorEastAsia" w:cs="Times New Roman"/>
          <w:color w:val="000000"/>
          <w:kern w:val="2"/>
          <w:vertAlign w:val="subscript"/>
        </w:rPr>
        <w:t>10</w:t>
      </w:r>
      <w:r w:rsidRPr="00E1019A">
        <w:rPr>
          <w:rFonts w:asciiTheme="minorEastAsia" w:eastAsiaTheme="minorEastAsia" w:hAnsiTheme="minorEastAsia" w:cs="Times New Roman"/>
          <w:color w:val="000000"/>
          <w:kern w:val="2"/>
        </w:rPr>
        <w:t>-C</w:t>
      </w:r>
      <w:r w:rsidRPr="00E1019A">
        <w:rPr>
          <w:rFonts w:asciiTheme="minorEastAsia" w:eastAsiaTheme="minorEastAsia" w:hAnsiTheme="minorEastAsia" w:cs="Times New Roman"/>
          <w:color w:val="000000"/>
          <w:kern w:val="2"/>
          <w:vertAlign w:val="subscript"/>
        </w:rPr>
        <w:t>40</w:t>
      </w:r>
      <w:r w:rsidRPr="00E1019A">
        <w:rPr>
          <w:rFonts w:asciiTheme="minorEastAsia" w:eastAsiaTheme="minorEastAsia" w:hAnsiTheme="minorEastAsia" w:cs="Times New Roman"/>
          <w:color w:val="000000"/>
          <w:kern w:val="2"/>
        </w:rPr>
        <w:t>）</w:t>
      </w:r>
      <w:r w:rsidRPr="00E1019A">
        <w:rPr>
          <w:rFonts w:asciiTheme="minorEastAsia" w:eastAsiaTheme="minorEastAsia" w:hAnsiTheme="minorEastAsia" w:cs="Times New Roman" w:hint="eastAsia"/>
          <w:color w:val="000000"/>
          <w:kern w:val="2"/>
        </w:rPr>
        <w:t>修复面积为</w:t>
      </w:r>
      <w:r w:rsidRPr="00E1019A">
        <w:rPr>
          <w:rFonts w:asciiTheme="minorEastAsia" w:eastAsiaTheme="minorEastAsia" w:hAnsiTheme="minorEastAsia" w:cs="Times New Roman"/>
          <w:color w:val="000000"/>
          <w:kern w:val="2"/>
        </w:rPr>
        <w:t>20530m</w:t>
      </w:r>
      <w:r w:rsidRPr="00E1019A">
        <w:rPr>
          <w:rFonts w:asciiTheme="minorEastAsia" w:eastAsiaTheme="minorEastAsia" w:hAnsiTheme="minorEastAsia" w:cs="Times New Roman"/>
          <w:color w:val="000000"/>
          <w:kern w:val="2"/>
          <w:vertAlign w:val="superscript"/>
        </w:rPr>
        <w:t>2</w:t>
      </w:r>
      <w:r w:rsidRPr="00E1019A">
        <w:rPr>
          <w:rFonts w:asciiTheme="minorEastAsia" w:eastAsiaTheme="minorEastAsia" w:hAnsiTheme="minorEastAsia" w:cs="Times New Roman" w:hint="eastAsia"/>
          <w:color w:val="000000"/>
          <w:kern w:val="2"/>
          <w:lang w:bidi="ar"/>
        </w:rPr>
        <w:t>，</w:t>
      </w:r>
      <w:r w:rsidRPr="00E1019A">
        <w:rPr>
          <w:rFonts w:asciiTheme="minorEastAsia" w:eastAsiaTheme="minorEastAsia" w:hAnsiTheme="minorEastAsia" w:cs="Times New Roman" w:hint="eastAsia"/>
          <w:color w:val="000000"/>
          <w:kern w:val="2"/>
        </w:rPr>
        <w:t>修复深度为地块内整个潜水含水层，平均水位标高约为3.87 m，厚13.2 m。</w:t>
      </w:r>
    </w:p>
    <w:p w:rsidR="00E1019A" w:rsidRPr="005371A9" w:rsidRDefault="00E1019A" w:rsidP="00E1019A">
      <w:pPr>
        <w:adjustRightInd w:val="0"/>
        <w:snapToGrid w:val="0"/>
        <w:outlineLvl w:val="1"/>
        <w:rPr>
          <w:b/>
          <w:sz w:val="28"/>
          <w:szCs w:val="28"/>
        </w:rPr>
      </w:pPr>
      <w:r w:rsidRPr="005371A9">
        <w:rPr>
          <w:b/>
          <w:sz w:val="28"/>
          <w:szCs w:val="28"/>
        </w:rPr>
        <w:t>4</w:t>
      </w:r>
      <w:r>
        <w:rPr>
          <w:rFonts w:hint="eastAsia"/>
          <w:b/>
          <w:sz w:val="28"/>
          <w:szCs w:val="28"/>
        </w:rPr>
        <w:t xml:space="preserve"> </w:t>
      </w:r>
      <w:r w:rsidRPr="005371A9">
        <w:rPr>
          <w:b/>
          <w:sz w:val="28"/>
          <w:szCs w:val="28"/>
        </w:rPr>
        <w:t>建议</w:t>
      </w:r>
    </w:p>
    <w:p w:rsidR="00E1019A" w:rsidRPr="00E1019A" w:rsidRDefault="00E1019A" w:rsidP="00E1019A">
      <w:pPr>
        <w:widowControl w:val="0"/>
        <w:ind w:firstLineChars="200" w:firstLine="480"/>
        <w:jc w:val="both"/>
        <w:rPr>
          <w:rFonts w:asciiTheme="minorEastAsia" w:eastAsiaTheme="minorEastAsia" w:hAnsiTheme="minorEastAsia" w:cs="Times New Roman"/>
          <w:color w:val="000000"/>
          <w:kern w:val="2"/>
        </w:rPr>
      </w:pPr>
      <w:r w:rsidRPr="00E1019A">
        <w:rPr>
          <w:rFonts w:asciiTheme="minorEastAsia" w:eastAsiaTheme="minorEastAsia" w:hAnsiTheme="minorEastAsia" w:cs="Times New Roman" w:hint="eastAsia"/>
          <w:color w:val="000000"/>
          <w:kern w:val="2"/>
        </w:rPr>
        <w:t>（1）地块在完成调查到地块治理修复期间，应加强地块管理，建议地块土地使用权人安排专人定时进行巡查，严禁外来土壤堆放，避免周边居民和建筑施工倾倒生活垃圾、建筑垃圾等；</w:t>
      </w:r>
      <w:r w:rsidRPr="00E1019A">
        <w:rPr>
          <w:rFonts w:asciiTheme="minorEastAsia" w:eastAsiaTheme="minorEastAsia" w:hAnsiTheme="minorEastAsia" w:cs="Times New Roman"/>
          <w:color w:val="000000"/>
          <w:kern w:val="2"/>
          <w:lang w:bidi="ar"/>
        </w:rPr>
        <w:t>禁止无关人员进入地块内活动</w:t>
      </w:r>
      <w:r w:rsidRPr="00E1019A">
        <w:rPr>
          <w:rFonts w:asciiTheme="minorEastAsia" w:eastAsiaTheme="minorEastAsia" w:hAnsiTheme="minorEastAsia" w:cs="Times New Roman" w:hint="eastAsia"/>
          <w:color w:val="000000"/>
          <w:kern w:val="2"/>
          <w:lang w:bidi="ar"/>
        </w:rPr>
        <w:t>，以</w:t>
      </w:r>
      <w:r w:rsidRPr="00E1019A">
        <w:rPr>
          <w:rFonts w:asciiTheme="minorEastAsia" w:eastAsiaTheme="minorEastAsia" w:hAnsiTheme="minorEastAsia" w:cs="Times New Roman"/>
          <w:color w:val="000000"/>
          <w:kern w:val="2"/>
          <w:lang w:bidi="ar"/>
        </w:rPr>
        <w:t>降低人群接触污染物的潜在风险</w:t>
      </w:r>
      <w:r w:rsidRPr="00E1019A">
        <w:rPr>
          <w:rFonts w:asciiTheme="minorEastAsia" w:eastAsiaTheme="minorEastAsia" w:hAnsiTheme="minorEastAsia" w:cs="Times New Roman" w:hint="eastAsia"/>
          <w:color w:val="000000"/>
          <w:kern w:val="2"/>
          <w:lang w:bidi="ar"/>
        </w:rPr>
        <w:t>。</w:t>
      </w:r>
    </w:p>
    <w:p w:rsidR="00E1019A" w:rsidRPr="00E1019A" w:rsidRDefault="00E1019A" w:rsidP="00E1019A">
      <w:pPr>
        <w:widowControl w:val="0"/>
        <w:ind w:firstLineChars="200" w:firstLine="480"/>
        <w:jc w:val="both"/>
        <w:rPr>
          <w:rFonts w:asciiTheme="minorEastAsia" w:eastAsiaTheme="minorEastAsia" w:hAnsiTheme="minorEastAsia" w:cs="Times New Roman"/>
          <w:kern w:val="2"/>
        </w:rPr>
      </w:pPr>
      <w:r w:rsidRPr="00E1019A">
        <w:rPr>
          <w:rFonts w:asciiTheme="minorEastAsia" w:eastAsiaTheme="minorEastAsia" w:hAnsiTheme="minorEastAsia" w:cs="Times New Roman" w:hint="eastAsia"/>
          <w:kern w:val="2"/>
        </w:rPr>
        <w:t>（2）本地块地下水</w:t>
      </w:r>
      <w:proofErr w:type="gramStart"/>
      <w:r w:rsidRPr="00E1019A">
        <w:rPr>
          <w:rFonts w:asciiTheme="minorEastAsia" w:eastAsiaTheme="minorEastAsia" w:hAnsiTheme="minorEastAsia" w:cs="Times New Roman" w:hint="eastAsia"/>
          <w:kern w:val="2"/>
        </w:rPr>
        <w:t>中特征</w:t>
      </w:r>
      <w:proofErr w:type="gramEnd"/>
      <w:r w:rsidRPr="00E1019A">
        <w:rPr>
          <w:rFonts w:asciiTheme="minorEastAsia" w:eastAsiaTheme="minorEastAsia" w:hAnsiTheme="minorEastAsia" w:cs="Times New Roman" w:hint="eastAsia"/>
          <w:kern w:val="2"/>
        </w:rPr>
        <w:t>污染物色度、</w:t>
      </w:r>
      <w:proofErr w:type="spellStart"/>
      <w:r w:rsidRPr="00E1019A">
        <w:rPr>
          <w:rFonts w:asciiTheme="minorEastAsia" w:eastAsiaTheme="minorEastAsia" w:hAnsiTheme="minorEastAsia" w:cs="Times New Roman" w:hint="eastAsia"/>
          <w:kern w:val="2"/>
        </w:rPr>
        <w:t>COD</w:t>
      </w:r>
      <w:r w:rsidRPr="00E1019A">
        <w:rPr>
          <w:rFonts w:asciiTheme="minorEastAsia" w:eastAsiaTheme="minorEastAsia" w:hAnsiTheme="minorEastAsia" w:cs="Times New Roman" w:hint="eastAsia"/>
          <w:kern w:val="2"/>
          <w:vertAlign w:val="subscript"/>
        </w:rPr>
        <w:t>Cr</w:t>
      </w:r>
      <w:proofErr w:type="spellEnd"/>
      <w:r w:rsidRPr="00E1019A">
        <w:rPr>
          <w:rFonts w:asciiTheme="minorEastAsia" w:eastAsiaTheme="minorEastAsia" w:hAnsiTheme="minorEastAsia" w:cs="Times New Roman" w:hint="eastAsia"/>
          <w:kern w:val="2"/>
        </w:rPr>
        <w:t>虽不是具体毒性物质，无污染物毒性等相关参数</w:t>
      </w:r>
      <w:r w:rsidRPr="00E1019A">
        <w:rPr>
          <w:rFonts w:asciiTheme="minorEastAsia" w:eastAsiaTheme="minorEastAsia" w:hAnsiTheme="minorEastAsia" w:cs="Times New Roman" w:hint="eastAsia"/>
          <w:kern w:val="2"/>
          <w:lang w:bidi="ar"/>
        </w:rPr>
        <w:t>，但</w:t>
      </w:r>
      <w:r w:rsidRPr="00E1019A">
        <w:rPr>
          <w:rFonts w:asciiTheme="minorEastAsia" w:eastAsiaTheme="minorEastAsia" w:hAnsiTheme="minorEastAsia" w:cs="Times New Roman"/>
          <w:kern w:val="2"/>
          <w:lang w:bidi="ar"/>
        </w:rPr>
        <w:t>基于环境质量考虑，</w:t>
      </w:r>
      <w:r w:rsidRPr="00E1019A">
        <w:rPr>
          <w:rFonts w:asciiTheme="minorEastAsia" w:eastAsiaTheme="minorEastAsia" w:hAnsiTheme="minorEastAsia" w:cs="Times New Roman" w:hint="eastAsia"/>
          <w:kern w:val="2"/>
          <w:lang w:bidi="ar"/>
        </w:rPr>
        <w:t>建议修复施工单位在开展地下水</w:t>
      </w:r>
      <w:r w:rsidRPr="00E1019A">
        <w:rPr>
          <w:rFonts w:asciiTheme="minorEastAsia" w:eastAsiaTheme="minorEastAsia" w:hAnsiTheme="minorEastAsia" w:cs="Times New Roman"/>
          <w:kern w:val="2"/>
        </w:rPr>
        <w:t>石油烃（C</w:t>
      </w:r>
      <w:r w:rsidRPr="00E1019A">
        <w:rPr>
          <w:rFonts w:asciiTheme="minorEastAsia" w:eastAsiaTheme="minorEastAsia" w:hAnsiTheme="minorEastAsia" w:cs="Times New Roman"/>
          <w:kern w:val="2"/>
          <w:vertAlign w:val="subscript"/>
        </w:rPr>
        <w:t>10</w:t>
      </w:r>
      <w:r w:rsidRPr="00E1019A">
        <w:rPr>
          <w:rFonts w:asciiTheme="minorEastAsia" w:eastAsiaTheme="minorEastAsia" w:hAnsiTheme="minorEastAsia" w:cs="Times New Roman"/>
          <w:kern w:val="2"/>
        </w:rPr>
        <w:t>-C</w:t>
      </w:r>
      <w:r w:rsidRPr="00E1019A">
        <w:rPr>
          <w:rFonts w:asciiTheme="minorEastAsia" w:eastAsiaTheme="minorEastAsia" w:hAnsiTheme="minorEastAsia" w:cs="Times New Roman"/>
          <w:kern w:val="2"/>
          <w:vertAlign w:val="subscript"/>
        </w:rPr>
        <w:t>40</w:t>
      </w:r>
      <w:r w:rsidRPr="00E1019A">
        <w:rPr>
          <w:rFonts w:asciiTheme="minorEastAsia" w:eastAsiaTheme="minorEastAsia" w:hAnsiTheme="minorEastAsia" w:cs="Times New Roman"/>
          <w:kern w:val="2"/>
        </w:rPr>
        <w:t>）</w:t>
      </w:r>
      <w:r w:rsidRPr="00E1019A">
        <w:rPr>
          <w:rFonts w:asciiTheme="minorEastAsia" w:eastAsiaTheme="minorEastAsia" w:hAnsiTheme="minorEastAsia" w:cs="Times New Roman" w:hint="eastAsia"/>
          <w:kern w:val="2"/>
        </w:rPr>
        <w:t>污染物修复时，监测并分析地下水中色度、</w:t>
      </w:r>
      <w:proofErr w:type="spellStart"/>
      <w:r w:rsidRPr="00E1019A">
        <w:rPr>
          <w:rFonts w:asciiTheme="minorEastAsia" w:eastAsiaTheme="minorEastAsia" w:hAnsiTheme="minorEastAsia" w:cs="Times New Roman" w:hint="eastAsia"/>
          <w:kern w:val="2"/>
        </w:rPr>
        <w:t>COD</w:t>
      </w:r>
      <w:r w:rsidRPr="00E1019A">
        <w:rPr>
          <w:rFonts w:asciiTheme="minorEastAsia" w:eastAsiaTheme="minorEastAsia" w:hAnsiTheme="minorEastAsia" w:cs="Times New Roman" w:hint="eastAsia"/>
          <w:kern w:val="2"/>
          <w:vertAlign w:val="subscript"/>
        </w:rPr>
        <w:t>Cr</w:t>
      </w:r>
      <w:proofErr w:type="spellEnd"/>
      <w:r w:rsidRPr="00E1019A">
        <w:rPr>
          <w:rFonts w:asciiTheme="minorEastAsia" w:eastAsiaTheme="minorEastAsia" w:hAnsiTheme="minorEastAsia" w:cs="Times New Roman" w:hint="eastAsia"/>
          <w:kern w:val="2"/>
        </w:rPr>
        <w:t>污染物变化情况。</w:t>
      </w:r>
    </w:p>
    <w:p w:rsidR="00E1019A" w:rsidRPr="00E1019A" w:rsidRDefault="00E1019A" w:rsidP="00E1019A">
      <w:pPr>
        <w:widowControl w:val="0"/>
        <w:ind w:firstLineChars="200" w:firstLine="480"/>
        <w:jc w:val="both"/>
        <w:rPr>
          <w:rFonts w:asciiTheme="minorEastAsia" w:eastAsiaTheme="minorEastAsia" w:hAnsiTheme="minorEastAsia" w:cs="Times New Roman"/>
          <w:color w:val="000000"/>
          <w:kern w:val="2"/>
          <w:lang w:bidi="ar"/>
        </w:rPr>
      </w:pPr>
      <w:r w:rsidRPr="00E1019A">
        <w:rPr>
          <w:rFonts w:asciiTheme="minorEastAsia" w:eastAsiaTheme="minorEastAsia" w:hAnsiTheme="minorEastAsia" w:cs="Times New Roman" w:hint="eastAsia"/>
          <w:color w:val="000000"/>
          <w:kern w:val="2"/>
          <w:lang w:bidi="ar"/>
        </w:rPr>
        <w:t>（3）</w:t>
      </w:r>
      <w:r w:rsidRPr="00E1019A">
        <w:rPr>
          <w:rFonts w:asciiTheme="minorEastAsia" w:eastAsiaTheme="minorEastAsia" w:hAnsiTheme="minorEastAsia" w:cs="Times New Roman"/>
          <w:color w:val="000000"/>
          <w:kern w:val="2"/>
          <w:lang w:bidi="ar"/>
        </w:rPr>
        <w:t>为避免地块</w:t>
      </w:r>
      <w:r w:rsidRPr="00E1019A">
        <w:rPr>
          <w:rFonts w:asciiTheme="minorEastAsia" w:eastAsiaTheme="minorEastAsia" w:hAnsiTheme="minorEastAsia" w:cs="Times New Roman" w:hint="eastAsia"/>
          <w:color w:val="000000"/>
          <w:kern w:val="2"/>
          <w:lang w:bidi="ar"/>
        </w:rPr>
        <w:t>地下水中</w:t>
      </w:r>
      <w:r w:rsidRPr="00E1019A">
        <w:rPr>
          <w:rFonts w:asciiTheme="minorEastAsia" w:eastAsiaTheme="minorEastAsia" w:hAnsiTheme="minorEastAsia" w:cs="Times New Roman"/>
          <w:color w:val="000000"/>
          <w:kern w:val="2"/>
          <w:lang w:bidi="ar"/>
        </w:rPr>
        <w:t>污染</w:t>
      </w:r>
      <w:r w:rsidRPr="00E1019A">
        <w:rPr>
          <w:rFonts w:asciiTheme="minorEastAsia" w:eastAsiaTheme="minorEastAsia" w:hAnsiTheme="minorEastAsia" w:cs="Times New Roman" w:hint="eastAsia"/>
          <w:color w:val="000000"/>
          <w:kern w:val="2"/>
          <w:lang w:bidi="ar"/>
        </w:rPr>
        <w:t>物</w:t>
      </w:r>
      <w:r w:rsidRPr="00E1019A">
        <w:rPr>
          <w:rFonts w:asciiTheme="minorEastAsia" w:eastAsiaTheme="minorEastAsia" w:hAnsiTheme="minorEastAsia" w:cs="Times New Roman"/>
          <w:color w:val="000000"/>
          <w:kern w:val="2"/>
          <w:lang w:bidi="ar"/>
        </w:rPr>
        <w:t>进一步扩散，</w:t>
      </w:r>
      <w:r w:rsidRPr="00E1019A">
        <w:rPr>
          <w:rFonts w:asciiTheme="minorEastAsia" w:eastAsiaTheme="minorEastAsia" w:hAnsiTheme="minorEastAsia" w:cs="Times New Roman" w:hint="eastAsia"/>
          <w:color w:val="000000"/>
          <w:kern w:val="2"/>
          <w:lang w:bidi="ar"/>
        </w:rPr>
        <w:t>土地使用权人</w:t>
      </w:r>
      <w:r w:rsidRPr="00E1019A">
        <w:rPr>
          <w:rFonts w:asciiTheme="minorEastAsia" w:eastAsiaTheme="minorEastAsia" w:hAnsiTheme="minorEastAsia" w:cs="Times New Roman"/>
          <w:color w:val="000000"/>
          <w:kern w:val="2"/>
          <w:lang w:bidi="ar"/>
        </w:rPr>
        <w:t>应尽快开展治理修复工作，避免长期搁置造成地块中污染物迁移而使污染范围发生变化。</w:t>
      </w:r>
      <w:r w:rsidRPr="00E1019A">
        <w:rPr>
          <w:rFonts w:asciiTheme="minorEastAsia" w:eastAsiaTheme="minorEastAsia" w:hAnsiTheme="minorEastAsia" w:cs="Times New Roman" w:hint="eastAsia"/>
          <w:color w:val="000000"/>
          <w:kern w:val="2"/>
          <w:lang w:bidi="ar"/>
        </w:rPr>
        <w:t>建议修复施工单位构建止水帷幕，土地使用权人负责止水帷幕的监管和维护，保障工程稳定运行。</w:t>
      </w:r>
    </w:p>
    <w:p w:rsidR="00E1019A" w:rsidRPr="00E1019A" w:rsidRDefault="00E1019A" w:rsidP="00E1019A">
      <w:pPr>
        <w:widowControl w:val="0"/>
        <w:ind w:firstLineChars="200" w:firstLine="480"/>
        <w:jc w:val="both"/>
        <w:rPr>
          <w:rFonts w:asciiTheme="minorEastAsia" w:eastAsiaTheme="minorEastAsia" w:hAnsiTheme="minorEastAsia" w:cs="Times New Roman"/>
          <w:color w:val="000000"/>
          <w:kern w:val="2"/>
          <w:lang w:bidi="ar"/>
        </w:rPr>
      </w:pPr>
      <w:r w:rsidRPr="00E1019A">
        <w:rPr>
          <w:rFonts w:asciiTheme="minorEastAsia" w:eastAsiaTheme="minorEastAsia" w:hAnsiTheme="minorEastAsia" w:cs="Times New Roman" w:hint="eastAsia"/>
          <w:color w:val="000000"/>
          <w:kern w:val="2"/>
          <w:lang w:bidi="ar"/>
        </w:rPr>
        <w:t>（4）采用地下水抽出技术进行修复时，建议修复施工单位对抽出治理后的水体进行水质监测，不得直接排放，若排放应满足水体去向的环境质量要求。</w:t>
      </w:r>
    </w:p>
    <w:p w:rsidR="00E1019A" w:rsidRPr="00E1019A" w:rsidRDefault="00E1019A" w:rsidP="00E1019A">
      <w:pPr>
        <w:widowControl w:val="0"/>
        <w:ind w:firstLineChars="200" w:firstLine="480"/>
        <w:jc w:val="both"/>
        <w:rPr>
          <w:rFonts w:asciiTheme="minorEastAsia" w:eastAsiaTheme="minorEastAsia" w:hAnsiTheme="minorEastAsia" w:cs="Times New Roman"/>
          <w:color w:val="000000"/>
          <w:kern w:val="2"/>
          <w:lang w:bidi="ar"/>
        </w:rPr>
      </w:pPr>
      <w:r w:rsidRPr="00E1019A">
        <w:rPr>
          <w:rFonts w:asciiTheme="minorEastAsia" w:eastAsiaTheme="minorEastAsia" w:hAnsiTheme="minorEastAsia" w:cs="Times New Roman" w:hint="eastAsia"/>
          <w:color w:val="000000"/>
          <w:kern w:val="2"/>
        </w:rPr>
        <w:t>（5）地块修复和后续开发过程中基坑排水应满足</w:t>
      </w:r>
      <w:r w:rsidRPr="00E1019A">
        <w:rPr>
          <w:rFonts w:asciiTheme="minorEastAsia" w:eastAsiaTheme="minorEastAsia" w:hAnsiTheme="minorEastAsia" w:cs="Times New Roman" w:hint="eastAsia"/>
          <w:color w:val="000000"/>
          <w:kern w:val="2"/>
          <w:lang w:bidi="ar"/>
        </w:rPr>
        <w:t>水体去向的环境质量要求。</w:t>
      </w:r>
    </w:p>
    <w:p w:rsidR="00E1019A" w:rsidRPr="00E1019A" w:rsidRDefault="00E1019A" w:rsidP="00E1019A">
      <w:pPr>
        <w:widowControl w:val="0"/>
        <w:ind w:firstLineChars="200" w:firstLine="480"/>
        <w:jc w:val="both"/>
        <w:rPr>
          <w:rFonts w:asciiTheme="minorEastAsia" w:eastAsiaTheme="minorEastAsia" w:hAnsiTheme="minorEastAsia" w:cs="Times New Roman"/>
          <w:color w:val="000000"/>
          <w:kern w:val="2"/>
        </w:rPr>
      </w:pPr>
      <w:r w:rsidRPr="00E1019A">
        <w:rPr>
          <w:rFonts w:asciiTheme="minorEastAsia" w:eastAsiaTheme="minorEastAsia" w:hAnsiTheme="minorEastAsia" w:cs="Times New Roman" w:hint="eastAsia"/>
          <w:color w:val="000000"/>
          <w:kern w:val="2"/>
        </w:rPr>
        <w:t>（6）在地块治理过程中，治理修复单位应当采取措施，避免对地块及周边环境造成二次污染。在地块开发利用过程中，施工单位应及时跟踪观测，若发现地下埋藏物、异常颜色物质、特殊气味等，应及时采取措施并上报区生态环境部门。</w:t>
      </w:r>
    </w:p>
    <w:p w:rsidR="00E1019A" w:rsidRPr="000F337F" w:rsidRDefault="00E1019A" w:rsidP="000F337F">
      <w:pPr>
        <w:widowControl w:val="0"/>
        <w:ind w:firstLineChars="200" w:firstLine="480"/>
        <w:jc w:val="both"/>
        <w:rPr>
          <w:rFonts w:asciiTheme="minorEastAsia" w:eastAsiaTheme="minorEastAsia" w:hAnsiTheme="minorEastAsia" w:cs="Times New Roman"/>
          <w:color w:val="000000"/>
          <w:kern w:val="2"/>
          <w:lang w:bidi="ar"/>
        </w:rPr>
      </w:pPr>
      <w:r w:rsidRPr="00E1019A">
        <w:rPr>
          <w:rFonts w:asciiTheme="minorEastAsia" w:eastAsiaTheme="minorEastAsia" w:hAnsiTheme="minorEastAsia" w:cs="Times New Roman" w:hint="eastAsia"/>
          <w:color w:val="000000"/>
          <w:kern w:val="2"/>
        </w:rPr>
        <w:t>（7）</w:t>
      </w:r>
      <w:r w:rsidRPr="00E1019A">
        <w:rPr>
          <w:rFonts w:asciiTheme="minorEastAsia" w:eastAsiaTheme="minorEastAsia" w:hAnsiTheme="minorEastAsia" w:cs="Times New Roman"/>
          <w:color w:val="000000"/>
          <w:kern w:val="2"/>
          <w:lang w:bidi="ar"/>
        </w:rPr>
        <w:t>本</w:t>
      </w:r>
      <w:r w:rsidRPr="00E1019A">
        <w:rPr>
          <w:rFonts w:asciiTheme="minorEastAsia" w:eastAsiaTheme="minorEastAsia" w:hAnsiTheme="minorEastAsia" w:cs="Times New Roman" w:hint="eastAsia"/>
          <w:color w:val="000000"/>
          <w:kern w:val="2"/>
          <w:lang w:bidi="ar"/>
        </w:rPr>
        <w:t>报告</w:t>
      </w:r>
      <w:r w:rsidRPr="00E1019A">
        <w:rPr>
          <w:rFonts w:asciiTheme="minorEastAsia" w:eastAsiaTheme="minorEastAsia" w:hAnsiTheme="minorEastAsia" w:cs="Times New Roman"/>
          <w:color w:val="000000"/>
          <w:kern w:val="2"/>
          <w:lang w:bidi="ar"/>
        </w:rPr>
        <w:t>地下水风险评估是基于地块地下水不饮用等情况下进行的，因此不应对地块地下水进行开采利用，若对地下水进行开采利用，则需重新对地下水开展风险评估工作。</w:t>
      </w:r>
    </w:p>
    <w:sectPr w:rsidR="00E1019A" w:rsidRPr="000F33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09E"/>
    <w:rsid w:val="000F337F"/>
    <w:rsid w:val="00105F9F"/>
    <w:rsid w:val="00256D3F"/>
    <w:rsid w:val="0043409E"/>
    <w:rsid w:val="004356A5"/>
    <w:rsid w:val="00E1019A"/>
    <w:rsid w:val="00E12165"/>
    <w:rsid w:val="00EB0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19A"/>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我才是正文"/>
    <w:basedOn w:val="a"/>
    <w:link w:val="Char"/>
    <w:qFormat/>
    <w:rsid w:val="00E1019A"/>
    <w:pPr>
      <w:widowControl w:val="0"/>
      <w:spacing w:line="520" w:lineRule="exact"/>
      <w:ind w:firstLineChars="200" w:firstLine="200"/>
      <w:jc w:val="both"/>
    </w:pPr>
    <w:rPr>
      <w:rFonts w:ascii="Times New Roman" w:eastAsia="仿宋_GB2312" w:hAnsi="Times New Roman" w:cstheme="minorBidi"/>
      <w:kern w:val="2"/>
      <w:sz w:val="28"/>
      <w:szCs w:val="21"/>
    </w:rPr>
  </w:style>
  <w:style w:type="character" w:customStyle="1" w:styleId="Char">
    <w:name w:val="我才是正文 Char"/>
    <w:basedOn w:val="a0"/>
    <w:link w:val="a3"/>
    <w:qFormat/>
    <w:rsid w:val="00E1019A"/>
    <w:rPr>
      <w:rFonts w:ascii="Times New Roman" w:eastAsia="仿宋_GB2312" w:hAnsi="Times New Roman"/>
      <w:sz w:val="28"/>
      <w:szCs w:val="21"/>
    </w:rPr>
  </w:style>
  <w:style w:type="table" w:styleId="a4">
    <w:name w:val="Table Grid"/>
    <w:basedOn w:val="a1"/>
    <w:qFormat/>
    <w:rsid w:val="00E1019A"/>
    <w:rPr>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0"/>
    <w:uiPriority w:val="99"/>
    <w:semiHidden/>
    <w:unhideWhenUsed/>
    <w:rsid w:val="00E1019A"/>
    <w:rPr>
      <w:sz w:val="18"/>
      <w:szCs w:val="18"/>
    </w:rPr>
  </w:style>
  <w:style w:type="character" w:customStyle="1" w:styleId="Char0">
    <w:name w:val="批注框文本 Char"/>
    <w:basedOn w:val="a0"/>
    <w:link w:val="a5"/>
    <w:uiPriority w:val="99"/>
    <w:semiHidden/>
    <w:rsid w:val="00E1019A"/>
    <w:rPr>
      <w:rFonts w:ascii="宋体" w:eastAsia="宋体" w:hAnsi="宋体" w:cs="宋体"/>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19A"/>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我才是正文"/>
    <w:basedOn w:val="a"/>
    <w:link w:val="Char"/>
    <w:qFormat/>
    <w:rsid w:val="00E1019A"/>
    <w:pPr>
      <w:widowControl w:val="0"/>
      <w:spacing w:line="520" w:lineRule="exact"/>
      <w:ind w:firstLineChars="200" w:firstLine="200"/>
      <w:jc w:val="both"/>
    </w:pPr>
    <w:rPr>
      <w:rFonts w:ascii="Times New Roman" w:eastAsia="仿宋_GB2312" w:hAnsi="Times New Roman" w:cstheme="minorBidi"/>
      <w:kern w:val="2"/>
      <w:sz w:val="28"/>
      <w:szCs w:val="21"/>
    </w:rPr>
  </w:style>
  <w:style w:type="character" w:customStyle="1" w:styleId="Char">
    <w:name w:val="我才是正文 Char"/>
    <w:basedOn w:val="a0"/>
    <w:link w:val="a3"/>
    <w:qFormat/>
    <w:rsid w:val="00E1019A"/>
    <w:rPr>
      <w:rFonts w:ascii="Times New Roman" w:eastAsia="仿宋_GB2312" w:hAnsi="Times New Roman"/>
      <w:sz w:val="28"/>
      <w:szCs w:val="21"/>
    </w:rPr>
  </w:style>
  <w:style w:type="table" w:styleId="a4">
    <w:name w:val="Table Grid"/>
    <w:basedOn w:val="a1"/>
    <w:qFormat/>
    <w:rsid w:val="00E1019A"/>
    <w:rPr>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0"/>
    <w:uiPriority w:val="99"/>
    <w:semiHidden/>
    <w:unhideWhenUsed/>
    <w:rsid w:val="00E1019A"/>
    <w:rPr>
      <w:sz w:val="18"/>
      <w:szCs w:val="18"/>
    </w:rPr>
  </w:style>
  <w:style w:type="character" w:customStyle="1" w:styleId="Char0">
    <w:name w:val="批注框文本 Char"/>
    <w:basedOn w:val="a0"/>
    <w:link w:val="a5"/>
    <w:uiPriority w:val="99"/>
    <w:semiHidden/>
    <w:rsid w:val="00E1019A"/>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427</Words>
  <Characters>2440</Characters>
  <Application>Microsoft Office Word</Application>
  <DocSecurity>0</DocSecurity>
  <Lines>20</Lines>
  <Paragraphs>5</Paragraphs>
  <ScaleCrop>false</ScaleCrop>
  <Company>Microsoft</Company>
  <LinksUpToDate>false</LinksUpToDate>
  <CharactersWithSpaces>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2021-06-07T06:05:00Z</dcterms:created>
  <dcterms:modified xsi:type="dcterms:W3CDTF">2021-06-07T07:03:00Z</dcterms:modified>
</cp:coreProperties>
</file>